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11F9E">
      <w:pPr>
        <w:spacing w:line="600" w:lineRule="exact"/>
        <w:ind w:firstLine="640"/>
        <w:rPr>
          <w:rFonts w:cs="Times New Roman"/>
          <w:szCs w:val="32"/>
        </w:rPr>
      </w:pPr>
      <w:bookmarkStart w:id="0" w:name="_Toc15428"/>
      <w:bookmarkStart w:id="1" w:name="_Toc10986"/>
      <w:bookmarkStart w:id="2" w:name="_Toc7558"/>
      <w:bookmarkStart w:id="3" w:name="_Toc124276880"/>
    </w:p>
    <w:p w14:paraId="480FAD7F">
      <w:pPr>
        <w:adjustRightInd w:val="0"/>
        <w:snapToGrid w:val="0"/>
        <w:spacing w:line="600" w:lineRule="exact"/>
        <w:ind w:firstLine="640"/>
        <w:contextualSpacing/>
        <w:textAlignment w:val="baseline"/>
        <w:rPr>
          <w:rFonts w:cs="Times New Roman"/>
          <w:szCs w:val="32"/>
        </w:rPr>
      </w:pPr>
    </w:p>
    <w:p w14:paraId="0A57F010">
      <w:pPr>
        <w:adjustRightInd w:val="0"/>
        <w:snapToGrid w:val="0"/>
        <w:spacing w:line="600" w:lineRule="exact"/>
        <w:ind w:firstLine="640"/>
        <w:contextualSpacing/>
        <w:textAlignment w:val="baseline"/>
        <w:rPr>
          <w:rFonts w:cs="Times New Roman"/>
          <w:szCs w:val="32"/>
        </w:rPr>
      </w:pPr>
    </w:p>
    <w:p w14:paraId="6DFB9C2B">
      <w:pPr>
        <w:adjustRightInd w:val="0"/>
        <w:snapToGrid w:val="0"/>
        <w:spacing w:line="600" w:lineRule="exact"/>
        <w:ind w:firstLine="640"/>
        <w:contextualSpacing/>
        <w:textAlignment w:val="baseline"/>
        <w:rPr>
          <w:rFonts w:cs="Times New Roman"/>
          <w:szCs w:val="32"/>
        </w:rPr>
      </w:pPr>
    </w:p>
    <w:p w14:paraId="2CB430B8">
      <w:pPr>
        <w:adjustRightInd w:val="0"/>
        <w:snapToGrid w:val="0"/>
        <w:spacing w:line="600" w:lineRule="exact"/>
        <w:ind w:firstLine="0" w:firstLineChars="0"/>
        <w:contextualSpacing/>
        <w:jc w:val="center"/>
        <w:textAlignment w:val="baseline"/>
        <w:rPr>
          <w:rFonts w:eastAsia="方正小标宋简体" w:cs="Times New Roman"/>
          <w:sz w:val="48"/>
          <w:szCs w:val="96"/>
        </w:rPr>
      </w:pPr>
      <w:r>
        <w:rPr>
          <w:rFonts w:eastAsia="方正小标宋简体" w:cs="Times New Roman"/>
          <w:sz w:val="48"/>
          <w:szCs w:val="96"/>
        </w:rPr>
        <w:t>兰考县国土空间总体规划</w:t>
      </w:r>
    </w:p>
    <w:p w14:paraId="301ACE65">
      <w:pPr>
        <w:adjustRightInd w:val="0"/>
        <w:snapToGrid w:val="0"/>
        <w:spacing w:line="600" w:lineRule="exact"/>
        <w:ind w:firstLine="0" w:firstLineChars="0"/>
        <w:contextualSpacing/>
        <w:jc w:val="center"/>
        <w:textAlignment w:val="baseline"/>
        <w:rPr>
          <w:rFonts w:eastAsia="方正小标宋简体" w:cs="Times New Roman"/>
          <w:b/>
          <w:sz w:val="48"/>
          <w:szCs w:val="96"/>
        </w:rPr>
      </w:pPr>
      <w:r>
        <w:rPr>
          <w:rFonts w:eastAsia="方正小标宋简体" w:cs="Times New Roman"/>
          <w:sz w:val="48"/>
          <w:szCs w:val="96"/>
        </w:rPr>
        <w:t>（2021</w:t>
      </w:r>
      <w:r>
        <w:rPr>
          <w:rFonts w:hint="eastAsia" w:ascii="方正小标宋简体" w:eastAsia="方正小标宋简体" w:cs="Times New Roman"/>
          <w:sz w:val="48"/>
          <w:szCs w:val="96"/>
        </w:rPr>
        <w:t>—</w:t>
      </w:r>
      <w:r>
        <w:rPr>
          <w:rFonts w:eastAsia="方正小标宋简体" w:cs="Times New Roman"/>
          <w:sz w:val="48"/>
          <w:szCs w:val="96"/>
        </w:rPr>
        <w:t>2035年）</w:t>
      </w:r>
      <w:bookmarkStart w:id="370" w:name="_GoBack"/>
      <w:bookmarkEnd w:id="370"/>
    </w:p>
    <w:p w14:paraId="571754EF">
      <w:pPr>
        <w:adjustRightInd w:val="0"/>
        <w:snapToGrid w:val="0"/>
        <w:spacing w:line="600" w:lineRule="exact"/>
        <w:ind w:firstLine="0" w:firstLineChars="0"/>
        <w:contextualSpacing/>
        <w:jc w:val="center"/>
        <w:textAlignment w:val="baseline"/>
        <w:rPr>
          <w:rFonts w:eastAsia="黑体" w:cs="Times New Roman"/>
          <w:sz w:val="40"/>
          <w:szCs w:val="40"/>
        </w:rPr>
      </w:pPr>
    </w:p>
    <w:p w14:paraId="02238170">
      <w:pPr>
        <w:adjustRightInd w:val="0"/>
        <w:snapToGrid w:val="0"/>
        <w:spacing w:line="600" w:lineRule="exact"/>
        <w:ind w:firstLine="0" w:firstLineChars="0"/>
        <w:contextualSpacing/>
        <w:jc w:val="center"/>
        <w:textAlignment w:val="baseline"/>
        <w:rPr>
          <w:rFonts w:eastAsia="方正小标宋简体" w:cs="Times New Roman"/>
          <w:sz w:val="48"/>
          <w:szCs w:val="96"/>
        </w:rPr>
      </w:pPr>
      <w:r>
        <w:rPr>
          <w:rFonts w:eastAsia="方正小标宋简体" w:cs="Times New Roman"/>
          <w:sz w:val="48"/>
          <w:szCs w:val="96"/>
        </w:rPr>
        <w:t>文</w:t>
      </w:r>
      <w:r>
        <w:rPr>
          <w:rFonts w:eastAsia="方正小标宋简体" w:cs="Times New Roman"/>
          <w:kern w:val="0"/>
          <w:sz w:val="48"/>
          <w:szCs w:val="96"/>
        </w:rPr>
        <w:t xml:space="preserve">  </w:t>
      </w:r>
      <w:r>
        <w:rPr>
          <w:rFonts w:eastAsia="方正小标宋简体" w:cs="Times New Roman"/>
          <w:sz w:val="48"/>
          <w:szCs w:val="96"/>
        </w:rPr>
        <w:t>本</w:t>
      </w:r>
    </w:p>
    <w:p w14:paraId="03E51FB4">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contextualSpacing/>
        <w:jc w:val="center"/>
        <w:textAlignment w:val="baseline"/>
        <w:rPr>
          <w:rFonts w:hint="default" w:ascii="Times New Roman" w:hAnsi="Times New Roman" w:eastAsia="仿宋_GB2312" w:cs="Times New Roman"/>
          <w:sz w:val="40"/>
          <w:szCs w:val="40"/>
          <w:lang w:eastAsia="zh-CN"/>
        </w:rPr>
      </w:pPr>
      <w:r>
        <w:rPr>
          <w:rFonts w:hint="default" w:ascii="Times New Roman" w:hAnsi="Times New Roman" w:eastAsia="仿宋_GB2312" w:cs="Times New Roman"/>
          <w:sz w:val="40"/>
          <w:szCs w:val="40"/>
          <w:lang w:eastAsia="zh-CN"/>
        </w:rPr>
        <w:t>（</w:t>
      </w:r>
      <w:r>
        <w:rPr>
          <w:rFonts w:hint="default" w:ascii="Times New Roman" w:hAnsi="Times New Roman" w:eastAsia="仿宋_GB2312" w:cs="Times New Roman"/>
          <w:sz w:val="40"/>
          <w:szCs w:val="40"/>
          <w:lang w:val="en-US" w:eastAsia="zh-CN"/>
        </w:rPr>
        <w:t>公开稿</w:t>
      </w:r>
      <w:r>
        <w:rPr>
          <w:rFonts w:hint="default" w:ascii="Times New Roman" w:hAnsi="Times New Roman" w:eastAsia="仿宋_GB2312" w:cs="Times New Roman"/>
          <w:sz w:val="40"/>
          <w:szCs w:val="40"/>
          <w:lang w:eastAsia="zh-CN"/>
        </w:rPr>
        <w:t>）</w:t>
      </w:r>
    </w:p>
    <w:p w14:paraId="5057E733">
      <w:pPr>
        <w:adjustRightInd w:val="0"/>
        <w:snapToGrid w:val="0"/>
        <w:spacing w:line="600" w:lineRule="exact"/>
        <w:ind w:firstLine="0" w:firstLineChars="0"/>
        <w:contextualSpacing/>
        <w:jc w:val="center"/>
        <w:textAlignment w:val="baseline"/>
        <w:rPr>
          <w:rFonts w:eastAsia="楷体" w:cs="Times New Roman"/>
          <w:szCs w:val="32"/>
        </w:rPr>
      </w:pPr>
    </w:p>
    <w:p w14:paraId="3BEE5F26">
      <w:pPr>
        <w:adjustRightInd w:val="0"/>
        <w:snapToGrid w:val="0"/>
        <w:spacing w:line="600" w:lineRule="exact"/>
        <w:ind w:firstLine="640"/>
        <w:contextualSpacing/>
        <w:textAlignment w:val="baseline"/>
        <w:rPr>
          <w:rFonts w:cs="Times New Roman"/>
          <w:szCs w:val="32"/>
        </w:rPr>
      </w:pPr>
    </w:p>
    <w:p w14:paraId="338B9BD6">
      <w:pPr>
        <w:adjustRightInd w:val="0"/>
        <w:snapToGrid w:val="0"/>
        <w:spacing w:line="600" w:lineRule="exact"/>
        <w:ind w:firstLine="640"/>
        <w:contextualSpacing/>
        <w:textAlignment w:val="baseline"/>
        <w:rPr>
          <w:rFonts w:cs="Times New Roman"/>
          <w:szCs w:val="32"/>
        </w:rPr>
      </w:pPr>
    </w:p>
    <w:p w14:paraId="3EE29A1C">
      <w:pPr>
        <w:adjustRightInd w:val="0"/>
        <w:snapToGrid w:val="0"/>
        <w:spacing w:line="600" w:lineRule="exact"/>
        <w:ind w:firstLine="640"/>
        <w:contextualSpacing/>
        <w:textAlignment w:val="baseline"/>
        <w:rPr>
          <w:rFonts w:cs="Times New Roman"/>
          <w:szCs w:val="32"/>
        </w:rPr>
      </w:pPr>
    </w:p>
    <w:p w14:paraId="03DF15DE">
      <w:pPr>
        <w:adjustRightInd w:val="0"/>
        <w:snapToGrid w:val="0"/>
        <w:spacing w:line="600" w:lineRule="exact"/>
        <w:ind w:firstLine="640"/>
        <w:contextualSpacing/>
        <w:textAlignment w:val="baseline"/>
        <w:rPr>
          <w:rFonts w:cs="Times New Roman"/>
          <w:szCs w:val="32"/>
        </w:rPr>
      </w:pPr>
    </w:p>
    <w:p w14:paraId="2C6399CF">
      <w:pPr>
        <w:adjustRightInd w:val="0"/>
        <w:snapToGrid w:val="0"/>
        <w:spacing w:line="600" w:lineRule="exact"/>
        <w:ind w:firstLine="640"/>
        <w:contextualSpacing/>
        <w:textAlignment w:val="baseline"/>
        <w:rPr>
          <w:rFonts w:cs="Times New Roman"/>
          <w:szCs w:val="32"/>
        </w:rPr>
      </w:pPr>
    </w:p>
    <w:p w14:paraId="0A275038">
      <w:pPr>
        <w:adjustRightInd w:val="0"/>
        <w:snapToGrid w:val="0"/>
        <w:spacing w:line="600" w:lineRule="exact"/>
        <w:ind w:firstLine="640"/>
        <w:contextualSpacing/>
        <w:textAlignment w:val="baseline"/>
        <w:rPr>
          <w:rFonts w:cs="Times New Roman"/>
          <w:szCs w:val="32"/>
        </w:rPr>
      </w:pPr>
    </w:p>
    <w:p w14:paraId="1BA03ACA">
      <w:pPr>
        <w:adjustRightInd w:val="0"/>
        <w:snapToGrid w:val="0"/>
        <w:spacing w:line="600" w:lineRule="exact"/>
        <w:ind w:firstLine="640"/>
        <w:contextualSpacing/>
        <w:textAlignment w:val="baseline"/>
        <w:rPr>
          <w:rFonts w:cs="Times New Roman"/>
          <w:szCs w:val="32"/>
        </w:rPr>
      </w:pPr>
    </w:p>
    <w:p w14:paraId="3E361A10">
      <w:pPr>
        <w:adjustRightInd w:val="0"/>
        <w:snapToGrid w:val="0"/>
        <w:spacing w:line="600" w:lineRule="exact"/>
        <w:ind w:firstLine="640"/>
        <w:contextualSpacing/>
        <w:textAlignment w:val="baseline"/>
        <w:rPr>
          <w:rFonts w:cs="Times New Roman"/>
          <w:szCs w:val="32"/>
        </w:rPr>
      </w:pPr>
    </w:p>
    <w:p w14:paraId="40B76DC3">
      <w:pPr>
        <w:pStyle w:val="20"/>
        <w:ind w:left="3840" w:firstLine="320"/>
      </w:pPr>
    </w:p>
    <w:p w14:paraId="557B247E">
      <w:pPr>
        <w:adjustRightInd w:val="0"/>
        <w:snapToGrid w:val="0"/>
        <w:spacing w:line="600" w:lineRule="exact"/>
        <w:ind w:firstLine="0" w:firstLineChars="0"/>
        <w:contextualSpacing/>
        <w:jc w:val="center"/>
        <w:textAlignment w:val="baseline"/>
        <w:rPr>
          <w:rFonts w:eastAsia="黑体" w:cs="Times New Roman"/>
          <w:szCs w:val="32"/>
        </w:rPr>
      </w:pPr>
      <w:r>
        <w:rPr>
          <w:rFonts w:eastAsia="黑体" w:cs="Times New Roman"/>
          <w:szCs w:val="32"/>
        </w:rPr>
        <w:t>兰考县人民政府</w:t>
      </w:r>
    </w:p>
    <w:p w14:paraId="28B604C9">
      <w:pPr>
        <w:tabs>
          <w:tab w:val="left" w:pos="3406"/>
          <w:tab w:val="center" w:pos="4482"/>
        </w:tabs>
        <w:adjustRightInd w:val="0"/>
        <w:snapToGrid w:val="0"/>
        <w:spacing w:line="600" w:lineRule="exact"/>
        <w:ind w:firstLine="0" w:firstLineChars="0"/>
        <w:contextualSpacing/>
        <w:jc w:val="center"/>
        <w:textAlignment w:val="baseline"/>
        <w:rPr>
          <w:rFonts w:eastAsia="黑体" w:cs="Times New Roman"/>
          <w:szCs w:val="32"/>
        </w:rPr>
      </w:pPr>
      <w:r>
        <w:rPr>
          <w:rFonts w:eastAsia="黑体" w:cs="Times New Roman"/>
          <w:szCs w:val="32"/>
        </w:rPr>
        <w:t>2024年5月</w:t>
      </w:r>
    </w:p>
    <w:p w14:paraId="5EC2A40B">
      <w:pPr>
        <w:pStyle w:val="20"/>
        <w:ind w:left="3840" w:firstLine="0" w:firstLineChars="0"/>
      </w:pPr>
    </w:p>
    <w:p w14:paraId="0D05AB16">
      <w:pPr>
        <w:pStyle w:val="20"/>
        <w:ind w:left="3840" w:firstLine="0" w:firstLineChars="0"/>
      </w:pPr>
    </w:p>
    <w:p w14:paraId="414BF21C">
      <w:pPr>
        <w:spacing w:line="596" w:lineRule="exact"/>
        <w:ind w:firstLine="0" w:firstLineChars="0"/>
        <w:jc w:val="center"/>
        <w:rPr>
          <w:rFonts w:eastAsia="黑体" w:cs="Times New Roman"/>
          <w:kern w:val="44"/>
          <w:szCs w:val="30"/>
          <w:shd w:val="clear" w:color="auto" w:fill="FFFFFF"/>
        </w:rPr>
        <w:sectPr>
          <w:headerReference r:id="rId7" w:type="first"/>
          <w:headerReference r:id="rId5" w:type="default"/>
          <w:headerReference r:id="rId6" w:type="even"/>
          <w:pgSz w:w="11906" w:h="16838"/>
          <w:pgMar w:top="1440" w:right="1797" w:bottom="1440" w:left="1797" w:header="851" w:footer="992" w:gutter="0"/>
          <w:pgNumType w:start="1"/>
          <w:cols w:space="425" w:num="1"/>
          <w:docGrid w:type="linesAndChars" w:linePitch="312" w:charSpace="0"/>
        </w:sectPr>
      </w:pPr>
    </w:p>
    <w:p w14:paraId="3F482A37">
      <w:pPr>
        <w:spacing w:line="596" w:lineRule="exact"/>
        <w:ind w:firstLine="0" w:firstLineChars="0"/>
        <w:jc w:val="center"/>
        <w:rPr>
          <w:rFonts w:eastAsia="黑体" w:cs="Times New Roman"/>
          <w:kern w:val="44"/>
          <w:sz w:val="44"/>
          <w:szCs w:val="36"/>
          <w:shd w:val="clear" w:color="auto" w:fill="FFFFFF"/>
        </w:rPr>
      </w:pPr>
      <w:r>
        <w:rPr>
          <w:rFonts w:eastAsia="黑体" w:cs="Times New Roman"/>
          <w:kern w:val="44"/>
          <w:sz w:val="44"/>
          <w:szCs w:val="36"/>
          <w:shd w:val="clear" w:color="auto" w:fill="FFFFFF"/>
        </w:rPr>
        <w:t>目  录</w:t>
      </w:r>
    </w:p>
    <w:p w14:paraId="75747A15">
      <w:pPr>
        <w:pStyle w:val="14"/>
        <w:keepNext w:val="0"/>
        <w:keepLines w:val="0"/>
        <w:pageBreakBefore w:val="0"/>
        <w:widowControl w:val="0"/>
        <w:tabs>
          <w:tab w:val="right" w:leader="dot" w:pos="8312"/>
        </w:tabs>
        <w:kinsoku/>
        <w:wordWrap/>
        <w:overflowPunct/>
        <w:topLinePunct w:val="0"/>
        <w:autoSpaceDE/>
        <w:autoSpaceDN/>
        <w:bidi w:val="0"/>
        <w:adjustRightInd/>
        <w:snapToGrid/>
        <w:spacing w:line="596" w:lineRule="exact"/>
        <w:ind w:left="0" w:leftChars="0" w:firstLine="0" w:firstLineChars="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TOC \o "1-2" \h \u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_Toc1923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第一章 总则</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_Toc1923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1</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52470F62">
      <w:pPr>
        <w:pStyle w:val="14"/>
        <w:keepNext w:val="0"/>
        <w:keepLines w:val="0"/>
        <w:pageBreakBefore w:val="0"/>
        <w:widowControl w:val="0"/>
        <w:tabs>
          <w:tab w:val="right" w:leader="dot" w:pos="8312"/>
        </w:tabs>
        <w:kinsoku/>
        <w:wordWrap/>
        <w:overflowPunct/>
        <w:topLinePunct w:val="0"/>
        <w:autoSpaceDE/>
        <w:autoSpaceDN/>
        <w:bidi w:val="0"/>
        <w:adjustRightInd/>
        <w:snapToGrid/>
        <w:spacing w:line="596" w:lineRule="exact"/>
        <w:ind w:left="0" w:leftChars="0" w:firstLine="0" w:firstLineChars="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_Toc16258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第二章 践行“三起来”统领发展定位与目标</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_Toc16258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4</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339AD6A2">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_Toc1539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第一节 总体定位与城市性质</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_Toc1539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4</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49F58E48">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_Toc12978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第二节 规划目标和策略</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_Toc12978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6</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2E26943E">
      <w:pPr>
        <w:pStyle w:val="14"/>
        <w:keepNext w:val="0"/>
        <w:keepLines w:val="0"/>
        <w:pageBreakBefore w:val="0"/>
        <w:widowControl w:val="0"/>
        <w:tabs>
          <w:tab w:val="right" w:leader="dot" w:pos="8312"/>
        </w:tabs>
        <w:kinsoku/>
        <w:wordWrap/>
        <w:overflowPunct/>
        <w:topLinePunct w:val="0"/>
        <w:autoSpaceDE/>
        <w:autoSpaceDN/>
        <w:bidi w:val="0"/>
        <w:adjustRightInd/>
        <w:snapToGrid/>
        <w:spacing w:line="596" w:lineRule="exact"/>
        <w:ind w:left="0" w:leftChars="0" w:firstLine="0" w:firstLineChars="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_Toc6723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第三章 落实“三区三线”构建国土空间格局</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_Toc6723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9</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6918901E">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_Toc28270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第一节 落实国土空间安全底线</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_Toc28270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9</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4474164B">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_Toc19623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第二节 构建国土空间开发保护格局</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_Toc19623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10</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28F4CFD7">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_Toc2495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第三节 融入郑开同城协同发展</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_Toc2495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14</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57C7C6C3">
      <w:pPr>
        <w:pStyle w:val="14"/>
        <w:keepNext w:val="0"/>
        <w:keepLines w:val="0"/>
        <w:pageBreakBefore w:val="0"/>
        <w:widowControl w:val="0"/>
        <w:tabs>
          <w:tab w:val="right" w:leader="dot" w:pos="8312"/>
        </w:tabs>
        <w:kinsoku/>
        <w:wordWrap/>
        <w:overflowPunct/>
        <w:topLinePunct w:val="0"/>
        <w:autoSpaceDE/>
        <w:autoSpaceDN/>
        <w:bidi w:val="0"/>
        <w:adjustRightInd/>
        <w:snapToGrid/>
        <w:spacing w:line="596" w:lineRule="exact"/>
        <w:ind w:left="0" w:leftChars="0" w:firstLine="0" w:firstLineChars="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_Toc21340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第四章 保护资源实现安全永续发展</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_Toc21340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17</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4012B83C">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_Toc6987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第一节 严格保护耕地资源</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_Toc6987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17</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3BBDC036">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_Toc7898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第二节 全面保护生态资源</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_Toc7898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19</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63A2E957">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_Toc25864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第三节 积极保护林业资源</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_Toc25864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21</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3011F642">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_Toc14108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第四节 强化保护水资源</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_Toc14108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22</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48E63C39">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_Toc19837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第五节 活化利用历史文化资源</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_Toc19837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24</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2288BDB2">
      <w:pPr>
        <w:pStyle w:val="14"/>
        <w:keepNext w:val="0"/>
        <w:keepLines w:val="0"/>
        <w:pageBreakBefore w:val="0"/>
        <w:widowControl w:val="0"/>
        <w:tabs>
          <w:tab w:val="right" w:leader="dot" w:pos="8312"/>
        </w:tabs>
        <w:kinsoku/>
        <w:wordWrap/>
        <w:overflowPunct/>
        <w:topLinePunct w:val="0"/>
        <w:autoSpaceDE/>
        <w:autoSpaceDN/>
        <w:bidi w:val="0"/>
        <w:adjustRightInd/>
        <w:snapToGrid/>
        <w:spacing w:line="596" w:lineRule="exact"/>
        <w:ind w:left="0" w:leftChars="0" w:firstLine="0" w:firstLineChars="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_Toc13620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第五章 贯通发展要素促进城乡融合和乡村振兴</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_Toc13620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27</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6249B478">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_Toc19310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第一节 推进以县城为重要载体的新型城镇化</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_Toc19310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27</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2DA96394">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_Toc30417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第二节 优化城乡产业空间布局</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_Toc30417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27</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35BDCA86">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_Toc26597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第三节 促进城乡用地结构优化和效率提升</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_Toc26597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29</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33C066D4">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_Toc17055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第四节 实施城乡公共服务均等化和设施一体化</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_Toc17055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30</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665B5E6F">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_Toc20863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第五节 连通城乡蓝绿交织的生态网络</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_Toc20863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33</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161FB626">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_Toc3297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第六节 塑造具有地域特色的城乡风貌</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_Toc3297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34</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4F70F913">
      <w:pPr>
        <w:pStyle w:val="14"/>
        <w:keepNext w:val="0"/>
        <w:keepLines w:val="0"/>
        <w:pageBreakBefore w:val="0"/>
        <w:widowControl w:val="0"/>
        <w:tabs>
          <w:tab w:val="right" w:leader="dot" w:pos="8312"/>
        </w:tabs>
        <w:kinsoku/>
        <w:wordWrap/>
        <w:overflowPunct/>
        <w:topLinePunct w:val="0"/>
        <w:autoSpaceDE/>
        <w:autoSpaceDN/>
        <w:bidi w:val="0"/>
        <w:adjustRightInd/>
        <w:snapToGrid/>
        <w:spacing w:line="596" w:lineRule="exact"/>
        <w:ind w:left="0" w:leftChars="0" w:firstLine="0" w:firstLineChars="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_Toc4904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第六章 高水平营建产城融合的现代文明新城</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_Toc4904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36</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6877794E">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_Toc17854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第一节 合理确定城市规模</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_Toc17854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36</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1E283448">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_Toc20905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第二节 优化城市空间布局</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_Toc20905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36</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5C847509">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_Toc10006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第三节 提高城市品质与效率</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_Toc10006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39</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5C521E50">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_Toc20147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第四节 构建绿色高效城市交通</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_Toc20147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44</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75A3BAE8">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_Toc26075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第五节 统筹地下空间利用</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_Toc26075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46</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098D2572">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_Toc9559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第六节 加强四线及工业控制线管控</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_Toc9559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47</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6D4C14F2">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_Toc2874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第七节 塑造城市风貌</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_Toc2874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48</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7B69FEAE">
      <w:pPr>
        <w:pStyle w:val="14"/>
        <w:keepNext w:val="0"/>
        <w:keepLines w:val="0"/>
        <w:pageBreakBefore w:val="0"/>
        <w:widowControl w:val="0"/>
        <w:tabs>
          <w:tab w:val="right" w:leader="dot" w:pos="8312"/>
        </w:tabs>
        <w:kinsoku/>
        <w:wordWrap/>
        <w:overflowPunct/>
        <w:topLinePunct w:val="0"/>
        <w:autoSpaceDE/>
        <w:autoSpaceDN/>
        <w:bidi w:val="0"/>
        <w:adjustRightInd/>
        <w:snapToGrid/>
        <w:spacing w:line="596" w:lineRule="exact"/>
        <w:ind w:left="0" w:leftChars="0" w:firstLine="0" w:firstLineChars="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_Toc4861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第七章 高标准构建安全韧性的支撑体系</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_Toc4861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53</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14E6F790">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_Toc7201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第一节 综合交通</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_Toc7201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53</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654E0E52">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_Toc31069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第二节 能源水利及市政基础设施</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_Toc31069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55</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4344CBE2">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_Toc10724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第三节 安全韧性与综合防灾</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_Toc10724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59</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6249537C">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_Toc26892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第四节 智慧低碳城市</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_Toc26892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63</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339ADB1E">
      <w:pPr>
        <w:pStyle w:val="14"/>
        <w:keepNext w:val="0"/>
        <w:keepLines w:val="0"/>
        <w:pageBreakBefore w:val="0"/>
        <w:widowControl w:val="0"/>
        <w:tabs>
          <w:tab w:val="right" w:leader="dot" w:pos="8312"/>
        </w:tabs>
        <w:kinsoku/>
        <w:wordWrap/>
        <w:overflowPunct/>
        <w:topLinePunct w:val="0"/>
        <w:autoSpaceDE/>
        <w:autoSpaceDN/>
        <w:bidi w:val="0"/>
        <w:adjustRightInd/>
        <w:snapToGrid/>
        <w:spacing w:line="596" w:lineRule="exact"/>
        <w:ind w:left="0" w:leftChars="0" w:firstLine="0" w:firstLineChars="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_Toc32011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第八章 全面推进国土综合整治与修复</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_Toc32011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65</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771DCEE2">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_Toc16790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第一节 生态空间整治与修复</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_Toc16790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65</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7AF0E445">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_Toc21393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第二节 农业农村空间整治与修复</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_Toc21393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67</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63186524">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_Toc6971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第一节 城镇空间整治与修复</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_Toc6971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68</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74940B9C">
      <w:pPr>
        <w:pStyle w:val="14"/>
        <w:keepNext w:val="0"/>
        <w:keepLines w:val="0"/>
        <w:pageBreakBefore w:val="0"/>
        <w:widowControl w:val="0"/>
        <w:tabs>
          <w:tab w:val="right" w:leader="dot" w:pos="8312"/>
        </w:tabs>
        <w:kinsoku/>
        <w:wordWrap/>
        <w:overflowPunct/>
        <w:topLinePunct w:val="0"/>
        <w:autoSpaceDE/>
        <w:autoSpaceDN/>
        <w:bidi w:val="0"/>
        <w:adjustRightInd/>
        <w:snapToGrid/>
        <w:spacing w:line="596" w:lineRule="exact"/>
        <w:ind w:left="0" w:leftChars="0" w:firstLine="0" w:firstLineChars="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_Toc13852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第九章 实施保障</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_Toc13852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70</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0BF2763C">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_Toc4043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第一节 加强党的领导</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_Toc4043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70</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2C36D681">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_Toc17398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第二节 传导与管控体系</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_Toc17398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71</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4160A5FD">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_Toc25402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第三节 规划全生命周期管理</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_Toc25402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72</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64701715">
      <w:pPr>
        <w:pStyle w:val="17"/>
        <w:keepNext w:val="0"/>
        <w:keepLines w:val="0"/>
        <w:pageBreakBefore w:val="0"/>
        <w:widowControl w:val="0"/>
        <w:tabs>
          <w:tab w:val="right" w:leader="dot" w:pos="8312"/>
          <w:tab w:val="clear" w:pos="8302"/>
        </w:tabs>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_Toc5073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第四节 近期实施重点任务和行动计划</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_Toc5073 \h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74</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sz w:val="32"/>
          <w:szCs w:val="32"/>
        </w:rPr>
        <w:fldChar w:fldCharType="end"/>
      </w:r>
    </w:p>
    <w:p w14:paraId="250C5B4F">
      <w:pPr>
        <w:pStyle w:val="28"/>
        <w:keepNext w:val="0"/>
        <w:keepLines w:val="0"/>
        <w:pageBreakBefore w:val="0"/>
        <w:widowControl w:val="0"/>
        <w:kinsoku/>
        <w:wordWrap/>
        <w:overflowPunct/>
        <w:topLinePunct w:val="0"/>
        <w:autoSpaceDE/>
        <w:autoSpaceDN/>
        <w:bidi w:val="0"/>
        <w:adjustRightInd/>
        <w:snapToGrid/>
        <w:spacing w:line="596" w:lineRule="exact"/>
        <w:ind w:left="0" w:leftChars="0" w:firstLine="640" w:firstLineChars="200"/>
        <w:jc w:val="both"/>
        <w:textAlignment w:val="auto"/>
        <w:rPr>
          <w:rFonts w:eastAsia="黑体"/>
        </w:rPr>
        <w:sectPr>
          <w:footerReference r:id="rId8" w:type="default"/>
          <w:pgSz w:w="11906" w:h="16838"/>
          <w:pgMar w:top="1440" w:right="1797" w:bottom="1440" w:left="1797" w:header="851" w:footer="340" w:gutter="0"/>
          <w:pgNumType w:fmt="upperRoman" w:start="1"/>
          <w:cols w:space="425" w:num="1"/>
          <w:docGrid w:type="linesAndChars" w:linePitch="435" w:charSpace="0"/>
        </w:sectPr>
      </w:pPr>
      <w:r>
        <w:rPr>
          <w:rFonts w:hint="default" w:ascii="Times New Roman" w:hAnsi="Times New Roman" w:eastAsia="楷体" w:cs="Times New Roman"/>
          <w:sz w:val="32"/>
          <w:szCs w:val="32"/>
        </w:rPr>
        <w:fldChar w:fldCharType="end"/>
      </w:r>
    </w:p>
    <w:bookmarkEnd w:id="0"/>
    <w:p w14:paraId="637720AD">
      <w:pPr>
        <w:ind w:firstLine="0" w:firstLineChars="0"/>
        <w:rPr>
          <w:rFonts w:cs="Times New Roman"/>
        </w:rPr>
      </w:pPr>
      <w:bookmarkStart w:id="4" w:name="_Toc20590"/>
      <w:bookmarkStart w:id="5" w:name="_Toc2188"/>
    </w:p>
    <w:p w14:paraId="700884A7">
      <w:pPr>
        <w:pStyle w:val="2"/>
        <w:spacing w:before="200" w:beforeLines="0" w:after="400" w:afterLines="0" w:line="596" w:lineRule="exact"/>
        <w:ind w:left="0"/>
        <w:rPr>
          <w:color w:val="auto"/>
        </w:rPr>
      </w:pPr>
      <w:bookmarkStart w:id="6" w:name="_Toc1923"/>
      <w:r>
        <w:rPr>
          <w:color w:val="auto"/>
        </w:rPr>
        <w:t>总则</w:t>
      </w:r>
      <w:bookmarkEnd w:id="4"/>
      <w:bookmarkEnd w:id="5"/>
      <w:bookmarkEnd w:id="6"/>
    </w:p>
    <w:p w14:paraId="3FEA9220">
      <w:pPr>
        <w:pStyle w:val="47"/>
        <w:spacing w:before="0" w:beforeLines="0" w:line="596" w:lineRule="exact"/>
        <w:ind w:firstLine="640"/>
        <w:rPr>
          <w:b w:val="0"/>
        </w:rPr>
      </w:pPr>
      <w:bookmarkStart w:id="7" w:name="_Toc27730"/>
      <w:bookmarkStart w:id="8" w:name="_Toc10362"/>
      <w:bookmarkStart w:id="9" w:name="_Toc26853"/>
      <w:r>
        <w:rPr>
          <w:b w:val="0"/>
        </w:rPr>
        <w:t>编制目的</w:t>
      </w:r>
      <w:bookmarkEnd w:id="7"/>
      <w:bookmarkEnd w:id="8"/>
      <w:bookmarkEnd w:id="9"/>
    </w:p>
    <w:p w14:paraId="283BEA55">
      <w:pPr>
        <w:spacing w:line="596" w:lineRule="exact"/>
        <w:ind w:firstLine="640"/>
        <w:rPr>
          <w:rFonts w:cs="Times New Roman"/>
        </w:rPr>
      </w:pPr>
      <w:r>
        <w:rPr>
          <w:rFonts w:cs="Times New Roman"/>
        </w:rPr>
        <w:t>为贯彻《中共中央国务院关于建立国土空间规划体系并监督实施的若干意见》精神，落实河南省、开封市重大部署，实现兰考县国土空间高水平保护和高质量发展，全面提升国土空间治理体系和治理能力现代化水平，特编制兰考县国土空间总体规划。</w:t>
      </w:r>
    </w:p>
    <w:p w14:paraId="50C8275D">
      <w:pPr>
        <w:pStyle w:val="47"/>
        <w:spacing w:before="0" w:beforeLines="0" w:line="596" w:lineRule="exact"/>
        <w:ind w:firstLine="640"/>
        <w:rPr>
          <w:b w:val="0"/>
        </w:rPr>
      </w:pPr>
      <w:bookmarkStart w:id="10" w:name="_Toc29730"/>
      <w:bookmarkStart w:id="11" w:name="_Toc10207"/>
      <w:bookmarkStart w:id="12" w:name="_Toc24170"/>
      <w:bookmarkStart w:id="13" w:name="_Toc5877"/>
      <w:bookmarkStart w:id="14" w:name="_Toc8"/>
      <w:r>
        <w:rPr>
          <w:b w:val="0"/>
        </w:rPr>
        <w:t>指导思想</w:t>
      </w:r>
      <w:bookmarkEnd w:id="10"/>
      <w:bookmarkEnd w:id="11"/>
      <w:bookmarkEnd w:id="12"/>
      <w:bookmarkEnd w:id="13"/>
      <w:bookmarkEnd w:id="14"/>
    </w:p>
    <w:p w14:paraId="73D9C014">
      <w:pPr>
        <w:spacing w:line="596" w:lineRule="exact"/>
        <w:ind w:firstLine="640"/>
        <w:rPr>
          <w:rFonts w:cs="Times New Roman"/>
        </w:rPr>
      </w:pPr>
      <w:r>
        <w:rPr>
          <w:rFonts w:cs="Times New Roman"/>
        </w:rPr>
        <w:t>坚持以习近平新时代中国特色社会主义思想为指导，全面深入贯彻落实党的二十大精神和习近平总书记关于</w:t>
      </w:r>
      <w:r>
        <w:rPr>
          <w:rFonts w:hint="eastAsia" w:cs="Times New Roman"/>
        </w:rPr>
        <w:t>河南省</w:t>
      </w:r>
      <w:r>
        <w:rPr>
          <w:rFonts w:cs="Times New Roman"/>
        </w:rPr>
        <w:t>重要讲话和重要指示精神，牢记总书记县域治理“三起来”嘱托，立足新发展阶段、落实新发展理念、锚定“两个确保”</w:t>
      </w:r>
      <w:r>
        <w:rPr>
          <w:rFonts w:hint="eastAsia" w:cs="Times New Roman"/>
        </w:rPr>
        <w:t>、</w:t>
      </w:r>
      <w:r>
        <w:rPr>
          <w:rFonts w:cs="Times New Roman"/>
        </w:rPr>
        <w:t>实施“十大战略”，</w:t>
      </w:r>
      <w:r>
        <w:rPr>
          <w:rFonts w:hint="eastAsia" w:cs="Times New Roman"/>
        </w:rPr>
        <w:t>以深度融入郑开兰同城化和建设富民强县试验区为契机，</w:t>
      </w:r>
      <w:r>
        <w:rPr>
          <w:rFonts w:cs="Times New Roman"/>
        </w:rPr>
        <w:t>统筹经济发展与粮食安全、生态安全、国防安全、公共安全，以资源的集约高效利用促进生产生活方式绿色转型，推动形成人与自然和谐共生的国土空间格局，推进兰考</w:t>
      </w:r>
      <w:r>
        <w:rPr>
          <w:rFonts w:hint="eastAsia" w:cs="Times New Roman"/>
        </w:rPr>
        <w:t>县</w:t>
      </w:r>
      <w:r>
        <w:rPr>
          <w:rFonts w:cs="Times New Roman"/>
        </w:rPr>
        <w:t>国土空间治理体系和治理能力现代化，为兰考</w:t>
      </w:r>
      <w:r>
        <w:rPr>
          <w:rFonts w:hint="eastAsia" w:cs="Times New Roman"/>
        </w:rPr>
        <w:t>县</w:t>
      </w:r>
      <w:r>
        <w:rPr>
          <w:rFonts w:cs="Times New Roman"/>
        </w:rPr>
        <w:t>纳入郑开同城、</w:t>
      </w:r>
      <w:r>
        <w:rPr>
          <w:rFonts w:hint="eastAsia" w:cs="Times New Roman"/>
        </w:rPr>
        <w:t>打造</w:t>
      </w:r>
      <w:r>
        <w:rPr>
          <w:rFonts w:cs="Times New Roman"/>
        </w:rPr>
        <w:t>全国县域治理“三起来”样板提供有力资源支撑和空间保障。</w:t>
      </w:r>
    </w:p>
    <w:p w14:paraId="1140A0A3">
      <w:pPr>
        <w:pStyle w:val="47"/>
        <w:spacing w:before="0" w:beforeLines="0" w:line="596" w:lineRule="exact"/>
        <w:ind w:firstLine="640"/>
        <w:rPr>
          <w:b w:val="0"/>
        </w:rPr>
      </w:pPr>
      <w:r>
        <w:rPr>
          <w:b w:val="0"/>
        </w:rPr>
        <w:t>规划原则</w:t>
      </w:r>
    </w:p>
    <w:p w14:paraId="6B09B669">
      <w:pPr>
        <w:spacing w:line="596" w:lineRule="exact"/>
        <w:ind w:firstLine="640"/>
        <w:rPr>
          <w:rFonts w:cs="Times New Roman"/>
        </w:rPr>
      </w:pPr>
      <w:r>
        <w:rPr>
          <w:rFonts w:cs="Times New Roman"/>
        </w:rPr>
        <w:t>坚持底线约束、绿色发展。严守粮食安全、生态安全、资源安全、防洪安全和历史文化保护等底线，</w:t>
      </w:r>
      <w:r>
        <w:rPr>
          <w:rFonts w:hint="eastAsia" w:cs="Times New Roman"/>
        </w:rPr>
        <w:t>有效推进</w:t>
      </w:r>
      <w:r>
        <w:rPr>
          <w:rFonts w:cs="Times New Roman"/>
        </w:rPr>
        <w:t>存量空间盘活</w:t>
      </w:r>
      <w:r>
        <w:rPr>
          <w:rFonts w:hint="eastAsia" w:cs="Times New Roman"/>
        </w:rPr>
        <w:t>，促进各项资源</w:t>
      </w:r>
      <w:r>
        <w:rPr>
          <w:rFonts w:cs="Times New Roman"/>
        </w:rPr>
        <w:t>节约集约利用</w:t>
      </w:r>
      <w:r>
        <w:rPr>
          <w:rFonts w:hint="eastAsia" w:cs="Times New Roman"/>
        </w:rPr>
        <w:t>，</w:t>
      </w:r>
      <w:r>
        <w:rPr>
          <w:rFonts w:cs="Times New Roman"/>
        </w:rPr>
        <w:t>坚持内涵式、集约型、绿色化的高质量发展，推动形成绿色发展方式和生活方式，形成城市发展新的增长点和竞争力。</w:t>
      </w:r>
    </w:p>
    <w:p w14:paraId="2A6B0E83">
      <w:pPr>
        <w:spacing w:line="596" w:lineRule="exact"/>
        <w:ind w:firstLine="640"/>
        <w:rPr>
          <w:rFonts w:cs="Times New Roman"/>
        </w:rPr>
      </w:pPr>
      <w:r>
        <w:rPr>
          <w:rFonts w:cs="Times New Roman"/>
        </w:rPr>
        <w:t>坚持以人为本、品质提升。认真贯彻以人民为中心的发展思想，坚持人民城市为人民，围绕人民群众对美好生活的向往，在发展中保障和改善民生。提升城市基础设施和公共服务水平，补齐民生短板，改善人居环境和生活品质，不断增强人民的获得感、幸福感和安全感。</w:t>
      </w:r>
    </w:p>
    <w:p w14:paraId="3A15EA14">
      <w:pPr>
        <w:spacing w:line="596" w:lineRule="exact"/>
        <w:ind w:firstLine="640"/>
        <w:rPr>
          <w:rFonts w:cs="Times New Roman"/>
        </w:rPr>
      </w:pPr>
      <w:r>
        <w:rPr>
          <w:rFonts w:cs="Times New Roman"/>
        </w:rPr>
        <w:t>坚持全域统筹、城乡融合。发挥兰考县的区位优势，谋划大通道、大枢纽、大平台、大环境，对接周边城市，更好的在区域发展和对外开放格局中发挥独特而重要的作用。</w:t>
      </w:r>
    </w:p>
    <w:p w14:paraId="218227F1">
      <w:pPr>
        <w:spacing w:line="596" w:lineRule="exact"/>
        <w:ind w:firstLine="640"/>
        <w:rPr>
          <w:rFonts w:cs="Times New Roman"/>
        </w:rPr>
      </w:pPr>
      <w:r>
        <w:rPr>
          <w:rFonts w:cs="Times New Roman"/>
        </w:rPr>
        <w:t>坚持问题导向、目标导向。按照“问题</w:t>
      </w:r>
      <w:r>
        <w:rPr>
          <w:rFonts w:hint="eastAsia" w:ascii="仿宋_GB2312" w:cs="Times New Roman"/>
        </w:rPr>
        <w:t>-</w:t>
      </w:r>
      <w:r>
        <w:rPr>
          <w:rFonts w:cs="Times New Roman"/>
        </w:rPr>
        <w:t>目标</w:t>
      </w:r>
      <w:r>
        <w:rPr>
          <w:rFonts w:hint="eastAsia" w:ascii="仿宋_GB2312" w:cs="Times New Roman"/>
        </w:rPr>
        <w:t>-</w:t>
      </w:r>
      <w:r>
        <w:rPr>
          <w:rFonts w:cs="Times New Roman"/>
        </w:rPr>
        <w:t>策略</w:t>
      </w:r>
      <w:r>
        <w:rPr>
          <w:rFonts w:hint="eastAsia" w:ascii="仿宋_GB2312" w:cs="Times New Roman"/>
        </w:rPr>
        <w:t>-</w:t>
      </w:r>
      <w:r>
        <w:rPr>
          <w:rFonts w:cs="Times New Roman"/>
        </w:rPr>
        <w:t>机制”的逻辑，因地制宜制定规划方案和实施措施，充分发挥兰考县国土空间总体规划在空间治理中的基础性公共政策作用，确保规划能用、管用、好用。</w:t>
      </w:r>
    </w:p>
    <w:p w14:paraId="31F71005">
      <w:pPr>
        <w:pStyle w:val="47"/>
        <w:spacing w:before="0" w:beforeLines="0" w:line="596" w:lineRule="exact"/>
        <w:ind w:firstLine="640"/>
        <w:rPr>
          <w:b w:val="0"/>
        </w:rPr>
      </w:pPr>
      <w:bookmarkStart w:id="15" w:name="_Toc21461"/>
      <w:bookmarkStart w:id="16" w:name="_Toc17564"/>
      <w:bookmarkStart w:id="17" w:name="_Toc4788"/>
      <w:r>
        <w:rPr>
          <w:b w:val="0"/>
        </w:rPr>
        <w:t>规划期限</w:t>
      </w:r>
      <w:bookmarkEnd w:id="15"/>
      <w:bookmarkEnd w:id="16"/>
      <w:bookmarkEnd w:id="17"/>
    </w:p>
    <w:p w14:paraId="0F3908CE">
      <w:pPr>
        <w:spacing w:line="596" w:lineRule="exact"/>
        <w:ind w:firstLine="640"/>
        <w:rPr>
          <w:rFonts w:cs="Times New Roman"/>
        </w:rPr>
      </w:pPr>
      <w:r>
        <w:rPr>
          <w:rFonts w:cs="Times New Roman"/>
        </w:rPr>
        <w:t>规划期限为2021至2035年，规划基期年为2020年，目标年为2035年，近期到2025年，远景展望到2050年。</w:t>
      </w:r>
    </w:p>
    <w:p w14:paraId="1C204CAE">
      <w:pPr>
        <w:pStyle w:val="47"/>
        <w:spacing w:before="0" w:beforeLines="0" w:line="596" w:lineRule="exact"/>
        <w:ind w:firstLine="640"/>
        <w:rPr>
          <w:b w:val="0"/>
        </w:rPr>
      </w:pPr>
      <w:bookmarkStart w:id="18" w:name="_Toc9579"/>
      <w:bookmarkStart w:id="19" w:name="_Toc14961"/>
      <w:bookmarkStart w:id="20" w:name="_Toc30575"/>
      <w:r>
        <w:rPr>
          <w:b w:val="0"/>
        </w:rPr>
        <w:t>规划范围与层次</w:t>
      </w:r>
      <w:bookmarkEnd w:id="18"/>
      <w:bookmarkEnd w:id="19"/>
      <w:bookmarkEnd w:id="20"/>
    </w:p>
    <w:p w14:paraId="7389BB63">
      <w:pPr>
        <w:spacing w:line="596" w:lineRule="exact"/>
        <w:ind w:firstLine="640"/>
        <w:rPr>
          <w:rFonts w:cs="Times New Roman"/>
        </w:rPr>
      </w:pPr>
      <w:r>
        <w:rPr>
          <w:rFonts w:cs="Times New Roman"/>
        </w:rPr>
        <w:t>规划范围为兰考县行政辖区，分为县域和中心城区两个空间层次。</w:t>
      </w:r>
    </w:p>
    <w:p w14:paraId="64D7F1F9">
      <w:pPr>
        <w:spacing w:line="596" w:lineRule="exact"/>
        <w:ind w:firstLine="640"/>
        <w:rPr>
          <w:rFonts w:cs="Times New Roman"/>
        </w:rPr>
      </w:pPr>
      <w:r>
        <w:rPr>
          <w:rFonts w:cs="Times New Roman"/>
        </w:rPr>
        <w:t>县域规划范围包括全部行政辖区。</w:t>
      </w:r>
    </w:p>
    <w:p w14:paraId="5C1AB7EE">
      <w:pPr>
        <w:spacing w:line="596" w:lineRule="exact"/>
        <w:ind w:firstLine="640"/>
        <w:rPr>
          <w:rFonts w:cs="Times New Roman"/>
        </w:rPr>
      </w:pPr>
      <w:r>
        <w:rPr>
          <w:rFonts w:cs="Times New Roman"/>
        </w:rPr>
        <w:t>中心城区规划范围包括主城区和城北产业功能区，总面积85.65平方公里。主城区东至东环路，南至南环路和郑徐高铁，西至三老路（S218），北至金牛路，面积84.40平方公里；城北产业功能区西、北至日南高速，东至G106，南至城镇开发边界，面积1.25平方公里。</w:t>
      </w:r>
    </w:p>
    <w:p w14:paraId="28317F24">
      <w:pPr>
        <w:pStyle w:val="47"/>
        <w:spacing w:before="0" w:beforeLines="0" w:line="596" w:lineRule="exact"/>
        <w:ind w:firstLine="640"/>
        <w:rPr>
          <w:b w:val="0"/>
        </w:rPr>
      </w:pPr>
      <w:r>
        <w:rPr>
          <w:rFonts w:hint="eastAsia"/>
          <w:b w:val="0"/>
        </w:rPr>
        <w:t>规划效力</w:t>
      </w:r>
    </w:p>
    <w:p w14:paraId="0C339CB4">
      <w:pPr>
        <w:spacing w:line="596" w:lineRule="exact"/>
        <w:ind w:firstLine="640"/>
        <w:rPr>
          <w:rFonts w:cs="Times New Roman"/>
        </w:rPr>
      </w:pPr>
      <w:r>
        <w:rPr>
          <w:rFonts w:hint="eastAsia" w:cs="Times New Roman"/>
        </w:rPr>
        <w:t>本规划是统筹兰考县国土空间保护、开发、利用、修复和指导各类建设的纲领性文件，是下层次空间规划的编制依据，是相关专项规划的基础。</w:t>
      </w:r>
    </w:p>
    <w:p w14:paraId="610932A2">
      <w:pPr>
        <w:spacing w:line="596" w:lineRule="exact"/>
        <w:ind w:firstLine="640"/>
        <w:rPr>
          <w:rFonts w:cs="Times New Roman"/>
        </w:rPr>
      </w:pPr>
      <w:r>
        <w:rPr>
          <w:rFonts w:cs="Times New Roman"/>
        </w:rPr>
        <w:t>文本条款中字体加下划线</w:t>
      </w:r>
      <w:r>
        <w:rPr>
          <w:rFonts w:hint="eastAsia" w:cs="Times New Roman"/>
        </w:rPr>
        <w:t>内容及附表中的约束性指标</w:t>
      </w:r>
      <w:r>
        <w:rPr>
          <w:rFonts w:cs="Times New Roman"/>
        </w:rPr>
        <w:t>为</w:t>
      </w:r>
      <w:r>
        <w:rPr>
          <w:rFonts w:hint="eastAsia" w:cs="Times New Roman"/>
        </w:rPr>
        <w:t>规划的</w:t>
      </w:r>
      <w:r>
        <w:rPr>
          <w:rFonts w:cs="Times New Roman"/>
        </w:rPr>
        <w:t>强制性内容。</w:t>
      </w:r>
    </w:p>
    <w:p w14:paraId="34A04C98">
      <w:pPr>
        <w:spacing w:line="596" w:lineRule="exact"/>
        <w:ind w:firstLine="640"/>
        <w:rPr>
          <w:rFonts w:cs="Times New Roman"/>
        </w:rPr>
      </w:pPr>
      <w:r>
        <w:rPr>
          <w:rFonts w:hint="eastAsia" w:cs="Times New Roman"/>
        </w:rPr>
        <w:t>本规划自河南省人民政府批复之日起生效，由兰考县人民政府组织实施，任何单位和个人不得违反和擅自修改。因国家重大战略调整、重大项目建设或者行政区划调整等确需修改本规划的，须按照法定程序进行修改。</w:t>
      </w:r>
    </w:p>
    <w:p w14:paraId="173A201D">
      <w:pPr>
        <w:spacing w:line="596" w:lineRule="exact"/>
        <w:ind w:firstLine="640"/>
        <w:rPr>
          <w:rFonts w:cs="Times New Roman"/>
        </w:rPr>
        <w:sectPr>
          <w:footerReference r:id="rId9" w:type="default"/>
          <w:pgSz w:w="11906" w:h="16838"/>
          <w:pgMar w:top="1440" w:right="1797" w:bottom="1440" w:left="1797" w:header="851" w:footer="992" w:gutter="0"/>
          <w:pgNumType w:start="1"/>
          <w:cols w:space="425" w:num="1"/>
          <w:docGrid w:type="linesAndChars" w:linePitch="312" w:charSpace="0"/>
        </w:sectPr>
      </w:pPr>
    </w:p>
    <w:bookmarkEnd w:id="1"/>
    <w:bookmarkEnd w:id="2"/>
    <w:bookmarkEnd w:id="3"/>
    <w:p w14:paraId="07854F68">
      <w:pPr>
        <w:ind w:firstLine="0" w:firstLineChars="0"/>
        <w:rPr>
          <w:rFonts w:cs="Times New Roman"/>
        </w:rPr>
      </w:pPr>
      <w:bookmarkStart w:id="21" w:name="_Toc13147"/>
      <w:bookmarkStart w:id="22" w:name="_Toc31145"/>
    </w:p>
    <w:p w14:paraId="7DCF2CE2">
      <w:pPr>
        <w:pStyle w:val="2"/>
        <w:spacing w:before="200" w:beforeLines="0" w:after="400" w:afterLines="0" w:line="596" w:lineRule="exact"/>
        <w:ind w:left="0"/>
        <w:rPr>
          <w:color w:val="auto"/>
        </w:rPr>
      </w:pPr>
      <w:bookmarkStart w:id="23" w:name="_Toc16258"/>
      <w:r>
        <w:rPr>
          <w:color w:val="auto"/>
        </w:rPr>
        <w:t>践行“三起来”统领发展定位与目标</w:t>
      </w:r>
      <w:bookmarkEnd w:id="21"/>
      <w:bookmarkEnd w:id="22"/>
      <w:bookmarkEnd w:id="23"/>
    </w:p>
    <w:p w14:paraId="34763C3D">
      <w:pPr>
        <w:pStyle w:val="3"/>
        <w:numPr>
          <w:ilvl w:val="0"/>
          <w:numId w:val="4"/>
        </w:numPr>
      </w:pPr>
      <w:bookmarkStart w:id="24" w:name="_Toc25433"/>
      <w:bookmarkStart w:id="25" w:name="_Toc22863"/>
      <w:bookmarkStart w:id="26" w:name="_Toc1539"/>
      <w:bookmarkStart w:id="27" w:name="_Toc15024"/>
      <w:bookmarkStart w:id="28" w:name="_Toc3925"/>
      <w:bookmarkStart w:id="29" w:name="_Toc11831"/>
      <w:bookmarkStart w:id="30" w:name="_Toc5012"/>
      <w:r>
        <w:t>总体定位</w:t>
      </w:r>
      <w:bookmarkEnd w:id="24"/>
      <w:bookmarkEnd w:id="25"/>
      <w:r>
        <w:t>与城市性质</w:t>
      </w:r>
      <w:bookmarkEnd w:id="26"/>
    </w:p>
    <w:p w14:paraId="6E2B0C3D">
      <w:pPr>
        <w:pStyle w:val="47"/>
        <w:spacing w:before="0" w:beforeLines="0" w:line="596" w:lineRule="exact"/>
        <w:ind w:firstLine="640"/>
        <w:rPr>
          <w:b w:val="0"/>
          <w:szCs w:val="40"/>
        </w:rPr>
      </w:pPr>
      <w:bookmarkStart w:id="31" w:name="_Toc13226"/>
      <w:r>
        <w:rPr>
          <w:b w:val="0"/>
        </w:rPr>
        <w:t>总体定位</w:t>
      </w:r>
      <w:bookmarkEnd w:id="27"/>
      <w:bookmarkEnd w:id="28"/>
      <w:bookmarkEnd w:id="29"/>
      <w:bookmarkEnd w:id="30"/>
      <w:bookmarkEnd w:id="31"/>
    </w:p>
    <w:p w14:paraId="670BB76A">
      <w:pPr>
        <w:spacing w:line="596" w:lineRule="exact"/>
        <w:ind w:firstLine="640"/>
        <w:rPr>
          <w:rFonts w:cs="Times New Roman"/>
          <w:szCs w:val="40"/>
        </w:rPr>
      </w:pPr>
      <w:r>
        <w:rPr>
          <w:rFonts w:cs="Times New Roman"/>
          <w:szCs w:val="40"/>
        </w:rPr>
        <w:t>规划</w:t>
      </w:r>
      <w:r>
        <w:rPr>
          <w:rFonts w:hint="eastAsia" w:cs="Times New Roman"/>
          <w:szCs w:val="40"/>
        </w:rPr>
        <w:t>牢记习近平总书记嘱托</w:t>
      </w:r>
      <w:r>
        <w:rPr>
          <w:rFonts w:cs="Times New Roman"/>
          <w:szCs w:val="40"/>
        </w:rPr>
        <w:t>，认真落实省委、省政府重大战略部署，以把兰考</w:t>
      </w:r>
      <w:r>
        <w:rPr>
          <w:rFonts w:hint="eastAsia" w:cs="Times New Roman"/>
          <w:szCs w:val="40"/>
        </w:rPr>
        <w:t>县</w:t>
      </w:r>
      <w:r>
        <w:rPr>
          <w:rFonts w:cs="Times New Roman"/>
          <w:szCs w:val="40"/>
        </w:rPr>
        <w:t>建成“新时代中国特色社会主义精神高地、全国共同富裕县域新样板、全国城乡融合发展新示范，</w:t>
      </w:r>
      <w:r>
        <w:rPr>
          <w:rFonts w:cs="Times New Roman"/>
          <w:szCs w:val="32"/>
        </w:rPr>
        <w:t>全国县域改革创新新典范</w:t>
      </w:r>
      <w:r>
        <w:rPr>
          <w:rFonts w:cs="Times New Roman"/>
          <w:szCs w:val="40"/>
        </w:rPr>
        <w:t>”为总体定位，全力打造“全国县域治理‘三起来’样板”。</w:t>
      </w:r>
    </w:p>
    <w:p w14:paraId="41AF134C">
      <w:pPr>
        <w:spacing w:line="596" w:lineRule="exact"/>
        <w:ind w:firstLine="640"/>
        <w:rPr>
          <w:rFonts w:cs="Times New Roman"/>
          <w:szCs w:val="40"/>
        </w:rPr>
      </w:pPr>
      <w:r>
        <w:rPr>
          <w:rFonts w:cs="Times New Roman"/>
          <w:szCs w:val="40"/>
        </w:rPr>
        <w:t>新时代中国特色社会主义精神高地。加强</w:t>
      </w:r>
      <w:r>
        <w:rPr>
          <w:rFonts w:hint="eastAsia" w:cs="Times New Roman"/>
          <w:szCs w:val="40"/>
        </w:rPr>
        <w:t>兰考县</w:t>
      </w:r>
      <w:r>
        <w:rPr>
          <w:rFonts w:cs="Times New Roman"/>
          <w:szCs w:val="40"/>
        </w:rPr>
        <w:t>与郑州大学焦裕禄精神研究中心等高等学校、研究机构合作，完善焦裕禄精神研学线路，创建国家级研学旅游示范基地，传承赓续红色基因，依托红色资源将</w:t>
      </w:r>
      <w:r>
        <w:rPr>
          <w:rFonts w:hint="eastAsia" w:cs="Times New Roman"/>
          <w:szCs w:val="40"/>
        </w:rPr>
        <w:t>兰考县</w:t>
      </w:r>
      <w:r>
        <w:rPr>
          <w:rFonts w:cs="Times New Roman"/>
          <w:szCs w:val="40"/>
        </w:rPr>
        <w:t>打造成红色旅游城市；推进黄河大堤和黄河故道申遗工作、实施黄河文化遗产系统保护工程，打造黄河文化节，保护传承黄河文化。</w:t>
      </w:r>
    </w:p>
    <w:p w14:paraId="3B2C87C2">
      <w:pPr>
        <w:spacing w:line="596" w:lineRule="exact"/>
        <w:ind w:firstLine="640"/>
        <w:rPr>
          <w:rFonts w:cs="Times New Roman"/>
          <w:szCs w:val="40"/>
        </w:rPr>
      </w:pPr>
      <w:r>
        <w:rPr>
          <w:rFonts w:cs="Times New Roman"/>
          <w:szCs w:val="40"/>
        </w:rPr>
        <w:t>全国共同富裕县域新样板。以满足人民日益增长的美好生活需要为根本目的，</w:t>
      </w:r>
      <w:r>
        <w:rPr>
          <w:rFonts w:hint="eastAsia" w:cs="Times New Roman"/>
          <w:szCs w:val="40"/>
        </w:rPr>
        <w:t>为构建现代产业体系提供空间保障，强化产业发展对富民的支撑能力，</w:t>
      </w:r>
      <w:r>
        <w:rPr>
          <w:rFonts w:cs="Times New Roman"/>
          <w:szCs w:val="40"/>
        </w:rPr>
        <w:t>促进</w:t>
      </w:r>
      <w:r>
        <w:rPr>
          <w:rFonts w:hint="eastAsia" w:cs="Times New Roman"/>
          <w:szCs w:val="40"/>
        </w:rPr>
        <w:t>城乡空间利用与</w:t>
      </w:r>
      <w:r>
        <w:rPr>
          <w:rFonts w:cs="Times New Roman"/>
          <w:szCs w:val="40"/>
        </w:rPr>
        <w:t>城乡居民收入增长</w:t>
      </w:r>
      <w:r>
        <w:rPr>
          <w:rFonts w:hint="eastAsia" w:cs="Times New Roman"/>
          <w:szCs w:val="40"/>
        </w:rPr>
        <w:t>、</w:t>
      </w:r>
      <w:r>
        <w:rPr>
          <w:rFonts w:cs="Times New Roman"/>
          <w:szCs w:val="40"/>
        </w:rPr>
        <w:t>经济增长更加协调，在高质量发展中扎实推动强县富民走在全国前列，为实现共同富裕提供全国县域示范。</w:t>
      </w:r>
    </w:p>
    <w:p w14:paraId="0AD40D23">
      <w:pPr>
        <w:spacing w:line="596" w:lineRule="exact"/>
        <w:ind w:firstLine="640"/>
        <w:rPr>
          <w:rFonts w:cs="Times New Roman"/>
          <w:szCs w:val="40"/>
        </w:rPr>
      </w:pPr>
      <w:r>
        <w:rPr>
          <w:rFonts w:cs="Times New Roman"/>
          <w:szCs w:val="40"/>
        </w:rPr>
        <w:t>全国城乡融合发展新示范。</w:t>
      </w:r>
      <w:r>
        <w:rPr>
          <w:rFonts w:hint="eastAsia" w:cs="Times New Roman"/>
          <w:szCs w:val="40"/>
        </w:rPr>
        <w:t>推动区域协同共赢发展，加快城乡空间贯通、产业贯通、生态贯通、基础设施和公共服务设施贯通，</w:t>
      </w:r>
      <w:r>
        <w:rPr>
          <w:rFonts w:cs="Times New Roman"/>
          <w:szCs w:val="40"/>
        </w:rPr>
        <w:t>促进城乡生产要素双向自由流动和公共资源合理配置，构建工农互促、城乡互补、全面融合、共同繁荣的新型工农城乡关系。</w:t>
      </w:r>
    </w:p>
    <w:p w14:paraId="07DB89BC">
      <w:pPr>
        <w:spacing w:line="596" w:lineRule="exact"/>
        <w:ind w:firstLine="640"/>
        <w:rPr>
          <w:rFonts w:cs="Times New Roman"/>
          <w:szCs w:val="40"/>
        </w:rPr>
      </w:pPr>
      <w:r>
        <w:rPr>
          <w:rFonts w:cs="Times New Roman"/>
          <w:szCs w:val="40"/>
        </w:rPr>
        <w:t>全国县域改革创新新典范。</w:t>
      </w:r>
      <w:r>
        <w:rPr>
          <w:rFonts w:hint="eastAsia" w:cs="Times New Roman"/>
          <w:szCs w:val="40"/>
        </w:rPr>
        <w:t>构建县乡村一体化国土空间规划体系，助推城乡一体化改革，促进协调发展，</w:t>
      </w:r>
      <w:r>
        <w:rPr>
          <w:rFonts w:cs="Times New Roman"/>
          <w:szCs w:val="40"/>
        </w:rPr>
        <w:t>注入发展新动能，为全国县域改革创新发展提供新范本。</w:t>
      </w:r>
    </w:p>
    <w:p w14:paraId="246D1136">
      <w:pPr>
        <w:pStyle w:val="47"/>
        <w:spacing w:before="0" w:beforeLines="0" w:line="596" w:lineRule="exact"/>
        <w:ind w:firstLine="640"/>
        <w:rPr>
          <w:b w:val="0"/>
          <w:szCs w:val="40"/>
        </w:rPr>
      </w:pPr>
      <w:r>
        <w:rPr>
          <w:b w:val="0"/>
        </w:rPr>
        <w:t>城市性质</w:t>
      </w:r>
    </w:p>
    <w:p w14:paraId="05711FE7">
      <w:pPr>
        <w:spacing w:line="596" w:lineRule="exact"/>
        <w:ind w:firstLine="640"/>
        <w:rPr>
          <w:rFonts w:cs="Times New Roman"/>
          <w:szCs w:val="40"/>
        </w:rPr>
      </w:pPr>
      <w:r>
        <w:rPr>
          <w:rFonts w:hint="eastAsia" w:cs="Times New Roman"/>
          <w:szCs w:val="40"/>
        </w:rPr>
        <w:t>全国爱国主义教育示范基地、郑开同城化发展的重要支点、豫鲁省际交界区域重要的先进制造业基地和现代化中等城市。</w:t>
      </w:r>
    </w:p>
    <w:p w14:paraId="5C7F4822">
      <w:pPr>
        <w:spacing w:line="596" w:lineRule="exact"/>
        <w:ind w:firstLine="643"/>
        <w:rPr>
          <w:rFonts w:cs="Times New Roman"/>
          <w:szCs w:val="40"/>
        </w:rPr>
      </w:pPr>
      <w:r>
        <w:rPr>
          <w:rFonts w:hint="eastAsia" w:cs="Times New Roman"/>
          <w:b/>
          <w:bCs/>
          <w:szCs w:val="40"/>
        </w:rPr>
        <w:t>全国爱国主义教育示范基地</w:t>
      </w:r>
      <w:r>
        <w:rPr>
          <w:rFonts w:cs="Times New Roman"/>
          <w:b/>
          <w:bCs/>
          <w:szCs w:val="40"/>
        </w:rPr>
        <w:t>：</w:t>
      </w:r>
      <w:r>
        <w:rPr>
          <w:rFonts w:hint="eastAsia" w:cs="Times New Roman"/>
          <w:szCs w:val="40"/>
        </w:rPr>
        <w:t>兰考县</w:t>
      </w:r>
      <w:r>
        <w:rPr>
          <w:rFonts w:cs="Times New Roman"/>
          <w:szCs w:val="40"/>
        </w:rPr>
        <w:t>是焦裕禄精神的发源地，以焦裕禄精神为主线的红色资源丰富，形成了以焦裕禄烈士墓、焦裕禄同志纪念馆、焦裕禄干部学院、焦桐、四面红旗馆、焦裕禄精神体验教育基地等为主要教育内容的焦裕禄精神宣传阵地体系，是全国重要的红色教育基地。</w:t>
      </w:r>
    </w:p>
    <w:p w14:paraId="5E6F6B8E">
      <w:pPr>
        <w:spacing w:line="596" w:lineRule="exact"/>
        <w:ind w:firstLine="643"/>
        <w:rPr>
          <w:rFonts w:cs="Times New Roman"/>
          <w:szCs w:val="40"/>
        </w:rPr>
      </w:pPr>
      <w:r>
        <w:rPr>
          <w:rFonts w:cs="Times New Roman"/>
          <w:b/>
          <w:bCs/>
          <w:szCs w:val="40"/>
        </w:rPr>
        <w:t>郑开同城化发展的重要支点：</w:t>
      </w:r>
      <w:r>
        <w:rPr>
          <w:rFonts w:cs="Times New Roman"/>
          <w:szCs w:val="40"/>
        </w:rPr>
        <w:t>兰考纳入郑开同城化进程，有利于实现郑开同城化区域的基础设施和服务设施共享，大幅度降低单位经济活动成本；有利于大规模吸引创新要素聚集，实现基于创新引领带动的高质量发展；</w:t>
      </w:r>
      <w:r>
        <w:rPr>
          <w:rFonts w:hint="eastAsia" w:cs="Times New Roman"/>
          <w:szCs w:val="40"/>
        </w:rPr>
        <w:t>兰考县</w:t>
      </w:r>
      <w:r>
        <w:rPr>
          <w:rFonts w:cs="Times New Roman"/>
          <w:szCs w:val="40"/>
        </w:rPr>
        <w:t>要充分把握这一契机，借力发展、借势提升，形成郑开同城化发展的重要支点。</w:t>
      </w:r>
    </w:p>
    <w:p w14:paraId="42DE988B">
      <w:pPr>
        <w:spacing w:line="596" w:lineRule="exact"/>
        <w:ind w:firstLine="643"/>
        <w:rPr>
          <w:rFonts w:cs="Times New Roman"/>
          <w:szCs w:val="40"/>
        </w:rPr>
      </w:pPr>
      <w:r>
        <w:rPr>
          <w:rFonts w:cs="Times New Roman"/>
          <w:b/>
          <w:bCs/>
        </w:rPr>
        <w:t>豫鲁省际交界区域重要的先进制造业基地和现代化中等城市：</w:t>
      </w:r>
      <w:r>
        <w:rPr>
          <w:rFonts w:hint="eastAsia" w:cs="Times New Roman"/>
          <w:szCs w:val="40"/>
        </w:rPr>
        <w:t>兰考县</w:t>
      </w:r>
      <w:r>
        <w:rPr>
          <w:rFonts w:cs="Times New Roman"/>
          <w:szCs w:val="40"/>
        </w:rPr>
        <w:t>位于郑州、开封通往长三角和山东半岛的重要交通廊道交汇之处，对外交通联系方便快捷，是豫鲁省际门户城市和</w:t>
      </w:r>
      <w:r>
        <w:rPr>
          <w:rFonts w:hint="eastAsia" w:cs="Times New Roman"/>
          <w:szCs w:val="40"/>
        </w:rPr>
        <w:t>河南省</w:t>
      </w:r>
      <w:r>
        <w:rPr>
          <w:rFonts w:cs="Times New Roman"/>
          <w:szCs w:val="40"/>
        </w:rPr>
        <w:t>重要的先进制造业基地之一，未来将实现由省际交界县向新兴经济增长中心转变，建设成为现代化的中等城市。</w:t>
      </w:r>
    </w:p>
    <w:p w14:paraId="5B8C5850">
      <w:pPr>
        <w:pStyle w:val="3"/>
        <w:numPr>
          <w:ilvl w:val="0"/>
          <w:numId w:val="4"/>
        </w:numPr>
      </w:pPr>
      <w:bookmarkStart w:id="32" w:name="_Toc12978"/>
      <w:bookmarkStart w:id="33" w:name="_Toc28689"/>
      <w:bookmarkStart w:id="34" w:name="_Toc18885"/>
      <w:r>
        <w:t>规划目标和策略</w:t>
      </w:r>
      <w:bookmarkEnd w:id="32"/>
      <w:bookmarkEnd w:id="33"/>
      <w:bookmarkEnd w:id="34"/>
    </w:p>
    <w:p w14:paraId="162E24EA">
      <w:pPr>
        <w:pStyle w:val="47"/>
        <w:spacing w:before="0" w:beforeLines="0" w:line="596" w:lineRule="exact"/>
        <w:ind w:firstLine="640"/>
        <w:rPr>
          <w:b w:val="0"/>
        </w:rPr>
      </w:pPr>
      <w:bookmarkStart w:id="35" w:name="_Toc24741"/>
      <w:bookmarkStart w:id="36" w:name="_Toc26025"/>
      <w:bookmarkStart w:id="37" w:name="_Toc29339"/>
      <w:bookmarkStart w:id="38" w:name="_Toc12933"/>
      <w:bookmarkStart w:id="39" w:name="_Toc7835"/>
      <w:bookmarkStart w:id="40" w:name="_Toc13639"/>
      <w:bookmarkStart w:id="41" w:name="_Toc13939"/>
      <w:bookmarkStart w:id="42" w:name="_Toc25907"/>
      <w:bookmarkStart w:id="43" w:name="_Toc1508"/>
      <w:bookmarkStart w:id="44" w:name="_Toc32238"/>
      <w:r>
        <w:rPr>
          <w:b w:val="0"/>
        </w:rPr>
        <w:t>国土空间开发保护目标</w:t>
      </w:r>
      <w:bookmarkEnd w:id="35"/>
      <w:bookmarkEnd w:id="36"/>
      <w:bookmarkEnd w:id="37"/>
      <w:bookmarkEnd w:id="38"/>
      <w:bookmarkEnd w:id="39"/>
    </w:p>
    <w:p w14:paraId="5C272395">
      <w:pPr>
        <w:spacing w:line="596" w:lineRule="exact"/>
        <w:ind w:firstLine="640"/>
        <w:rPr>
          <w:rFonts w:cs="Times New Roman"/>
          <w:szCs w:val="40"/>
        </w:rPr>
      </w:pPr>
      <w:r>
        <w:rPr>
          <w:rFonts w:cs="Times New Roman"/>
          <w:szCs w:val="40"/>
        </w:rPr>
        <w:t>2025年国土空间开发保护格局进一步优化，生态、耕地格局进一步稳固，公共服务均等化、基础设施一体化水平进一步提升，资源集约节约利用效率得到进一步提高；融入郑开同城取得实质性进展，进入</w:t>
      </w:r>
      <w:r>
        <w:rPr>
          <w:rFonts w:hint="eastAsia" w:cs="Times New Roman"/>
          <w:szCs w:val="40"/>
        </w:rPr>
        <w:t>河南省</w:t>
      </w:r>
      <w:r>
        <w:rPr>
          <w:rFonts w:cs="Times New Roman"/>
          <w:szCs w:val="40"/>
        </w:rPr>
        <w:t>县域经济社会高质量发展第一方阵。</w:t>
      </w:r>
    </w:p>
    <w:p w14:paraId="40034A6E">
      <w:pPr>
        <w:spacing w:line="596" w:lineRule="exact"/>
        <w:ind w:firstLine="640"/>
        <w:rPr>
          <w:rFonts w:cs="Times New Roman"/>
          <w:szCs w:val="40"/>
        </w:rPr>
      </w:pPr>
      <w:r>
        <w:rPr>
          <w:rFonts w:cs="Times New Roman"/>
          <w:szCs w:val="40"/>
        </w:rPr>
        <w:t>2035年主体功能明显、优势互补、高质量发展的国土空间开发保护新格局基本形成，国土空间对安全底线的约束保护作用、对社会经济发展的支撑保障作用充分显现，国土空间治理能力现代化基本实现。打造成为全国县域治理“三起来”样板，全面建成社会主义新兰考，实现共同富裕。</w:t>
      </w:r>
    </w:p>
    <w:p w14:paraId="19C17052">
      <w:pPr>
        <w:spacing w:line="596" w:lineRule="exact"/>
        <w:ind w:firstLine="640"/>
        <w:rPr>
          <w:rFonts w:cs="Times New Roman"/>
          <w:szCs w:val="40"/>
        </w:rPr>
      </w:pPr>
      <w:r>
        <w:rPr>
          <w:rFonts w:cs="Times New Roman"/>
          <w:szCs w:val="40"/>
        </w:rPr>
        <w:t>到2050年，国土空间安全底线稳固，资源利用集约高效，空间品质优美宜居，空间治理体系和治理能力现代化；全面建成高水平社会主义现代化新兰考，成为富强民主文明和谐美丽的</w:t>
      </w:r>
      <w:r>
        <w:rPr>
          <w:rFonts w:hint="eastAsia" w:cs="Times New Roman"/>
          <w:szCs w:val="40"/>
        </w:rPr>
        <w:t>中国式</w:t>
      </w:r>
      <w:r>
        <w:rPr>
          <w:rFonts w:cs="Times New Roman"/>
          <w:szCs w:val="40"/>
        </w:rPr>
        <w:t>现代化</w:t>
      </w:r>
      <w:r>
        <w:rPr>
          <w:rFonts w:hint="eastAsia" w:cs="Times New Roman"/>
          <w:szCs w:val="40"/>
        </w:rPr>
        <w:t>县域新样板</w:t>
      </w:r>
      <w:r>
        <w:rPr>
          <w:rFonts w:cs="Times New Roman"/>
          <w:szCs w:val="40"/>
        </w:rPr>
        <w:t>。</w:t>
      </w:r>
    </w:p>
    <w:p w14:paraId="2FC36B70">
      <w:pPr>
        <w:spacing w:line="596" w:lineRule="exact"/>
        <w:ind w:firstLine="640"/>
        <w:rPr>
          <w:rFonts w:cs="Times New Roman"/>
          <w:szCs w:val="40"/>
        </w:rPr>
      </w:pPr>
      <w:bookmarkStart w:id="45" w:name="_Toc32705"/>
      <w:bookmarkStart w:id="46" w:name="_Toc16736"/>
      <w:r>
        <w:rPr>
          <w:rFonts w:cs="Times New Roman"/>
          <w:szCs w:val="40"/>
        </w:rPr>
        <w:t>规划指标体系详见附表1。</w:t>
      </w:r>
      <w:bookmarkEnd w:id="45"/>
      <w:bookmarkEnd w:id="46"/>
    </w:p>
    <w:p w14:paraId="13F27774">
      <w:pPr>
        <w:pStyle w:val="47"/>
        <w:spacing w:before="0" w:beforeLines="0" w:line="596" w:lineRule="exact"/>
        <w:ind w:firstLine="640"/>
        <w:rPr>
          <w:b w:val="0"/>
        </w:rPr>
      </w:pPr>
      <w:r>
        <w:rPr>
          <w:b w:val="0"/>
        </w:rPr>
        <w:t>国土空间开发保护</w:t>
      </w:r>
      <w:bookmarkEnd w:id="40"/>
      <w:bookmarkEnd w:id="41"/>
      <w:r>
        <w:rPr>
          <w:b w:val="0"/>
        </w:rPr>
        <w:t>策略</w:t>
      </w:r>
      <w:bookmarkEnd w:id="42"/>
      <w:bookmarkEnd w:id="43"/>
      <w:bookmarkEnd w:id="44"/>
    </w:p>
    <w:p w14:paraId="4B296DDA">
      <w:pPr>
        <w:spacing w:line="596" w:lineRule="exact"/>
        <w:ind w:firstLine="640"/>
        <w:rPr>
          <w:rFonts w:cs="Times New Roman"/>
          <w:szCs w:val="40"/>
        </w:rPr>
      </w:pPr>
      <w:r>
        <w:rPr>
          <w:rFonts w:cs="Times New Roman"/>
          <w:szCs w:val="40"/>
        </w:rPr>
        <w:t>安全永续。守牢耕地和永久基本农田保护红线，扛稳粮食安全重任；严守生态保护红线，筑牢黄河生态屏障，守护黄河滩区生态系统平衡；建立洪水、地震等灾害防控体系，维护黄河安澜，保障人民生命财产安全。</w:t>
      </w:r>
    </w:p>
    <w:p w14:paraId="6904ED6D">
      <w:pPr>
        <w:spacing w:line="596" w:lineRule="exact"/>
        <w:ind w:firstLine="640"/>
        <w:rPr>
          <w:rFonts w:cs="Times New Roman"/>
          <w:szCs w:val="40"/>
        </w:rPr>
      </w:pPr>
      <w:r>
        <w:rPr>
          <w:rFonts w:cs="Times New Roman"/>
          <w:szCs w:val="40"/>
        </w:rPr>
        <w:t>区域协调。将兰考全域纳入郑开同城化进程进行统一规划布局，充分发挥郑州建设国家中心城市对兰考的辐射带动作用，强力推动兰考连汴融郑、提级扩能，以郑开兰区域发展带动兰考县域发展，以兰考县域发展促进区域均衡发展。</w:t>
      </w:r>
    </w:p>
    <w:p w14:paraId="7A009492">
      <w:pPr>
        <w:spacing w:line="596" w:lineRule="exact"/>
        <w:ind w:firstLine="640"/>
        <w:rPr>
          <w:rFonts w:cs="Times New Roman"/>
          <w:szCs w:val="40"/>
        </w:rPr>
      </w:pPr>
      <w:r>
        <w:rPr>
          <w:rFonts w:cs="Times New Roman"/>
          <w:szCs w:val="40"/>
        </w:rPr>
        <w:t>城乡一体。按照新型城镇化发展要求，以工促农、以城带乡，在城乡建设、产业发展、土地统筹、设施配套、生态保育等方面推进城乡一体、融合发展，实现城乡贯通，促进城乡经济社会全面、协调、可持续发展。</w:t>
      </w:r>
    </w:p>
    <w:p w14:paraId="018904D0">
      <w:pPr>
        <w:spacing w:line="596" w:lineRule="exact"/>
        <w:ind w:firstLine="640"/>
        <w:rPr>
          <w:rFonts w:cs="Times New Roman"/>
          <w:szCs w:val="40"/>
        </w:rPr>
      </w:pPr>
      <w:r>
        <w:rPr>
          <w:rFonts w:cs="Times New Roman"/>
          <w:szCs w:val="40"/>
        </w:rPr>
        <w:t>产城融合。强化产业集聚发展，重点支持经济技术开发区、乡镇产业园等产业空间发展需求，促进产业发展与城镇功能融合、空间整合，支撑城镇转换发展动能、增强产业活力。</w:t>
      </w:r>
    </w:p>
    <w:p w14:paraId="6EB30AB5">
      <w:pPr>
        <w:spacing w:line="596" w:lineRule="exact"/>
        <w:ind w:firstLine="640"/>
        <w:rPr>
          <w:rFonts w:cs="Times New Roman"/>
          <w:szCs w:val="40"/>
        </w:rPr>
      </w:pPr>
      <w:r>
        <w:rPr>
          <w:rFonts w:cs="Times New Roman"/>
          <w:szCs w:val="40"/>
        </w:rPr>
        <w:t>集约节约。大力推进农村土地综合整治，改善人居环境，推进和美乡村建设。坚持严控总量、用好增量、盘活存量、激活流量，科学有序高效配置空间要素，提升空间利用综合效益。</w:t>
      </w:r>
    </w:p>
    <w:p w14:paraId="652366E1">
      <w:pPr>
        <w:spacing w:line="596" w:lineRule="exact"/>
        <w:ind w:firstLine="640"/>
        <w:rPr>
          <w:rFonts w:cs="Times New Roman"/>
          <w:sz w:val="52"/>
          <w:szCs w:val="52"/>
        </w:rPr>
        <w:sectPr>
          <w:pgSz w:w="11906" w:h="16838"/>
          <w:pgMar w:top="1440" w:right="1797" w:bottom="1440" w:left="1797" w:header="851" w:footer="992" w:gutter="0"/>
          <w:cols w:space="425" w:num="1"/>
          <w:docGrid w:type="linesAndChars" w:linePitch="312" w:charSpace="0"/>
        </w:sectPr>
      </w:pPr>
      <w:r>
        <w:rPr>
          <w:rFonts w:cs="Times New Roman"/>
          <w:szCs w:val="40"/>
        </w:rPr>
        <w:t>精准治理。充分利用大数据等技术手段，推动规划数字化转型，依托国土空间基础信息平台，实现互联互通。完善系统治理、依法治理、综合治理、源头治理体制机制，综合施策、精准治理</w:t>
      </w:r>
      <w:bookmarkStart w:id="47" w:name="_Toc16326"/>
      <w:bookmarkStart w:id="48" w:name="_Toc20027"/>
      <w:bookmarkStart w:id="49" w:name="_Toc124"/>
      <w:r>
        <w:rPr>
          <w:rFonts w:cs="Times New Roman"/>
          <w:szCs w:val="40"/>
        </w:rPr>
        <w:t>。</w:t>
      </w:r>
    </w:p>
    <w:bookmarkEnd w:id="47"/>
    <w:p w14:paraId="76BD1C36">
      <w:pPr>
        <w:ind w:firstLine="0" w:firstLineChars="0"/>
        <w:rPr>
          <w:rFonts w:cs="Times New Roman"/>
        </w:rPr>
      </w:pPr>
    </w:p>
    <w:p w14:paraId="3521F122">
      <w:pPr>
        <w:pStyle w:val="2"/>
        <w:spacing w:before="200" w:beforeLines="0" w:after="400" w:afterLines="0" w:line="596" w:lineRule="exact"/>
        <w:ind w:left="0"/>
        <w:rPr>
          <w:color w:val="auto"/>
        </w:rPr>
      </w:pPr>
      <w:bookmarkStart w:id="50" w:name="_Toc6723"/>
      <w:r>
        <w:rPr>
          <w:color w:val="auto"/>
        </w:rPr>
        <w:t>落实“三区三线”构建国土空间格局</w:t>
      </w:r>
      <w:bookmarkEnd w:id="50"/>
    </w:p>
    <w:p w14:paraId="745DD32F">
      <w:pPr>
        <w:pStyle w:val="3"/>
        <w:numPr>
          <w:ilvl w:val="0"/>
          <w:numId w:val="5"/>
        </w:numPr>
      </w:pPr>
      <w:bookmarkStart w:id="51" w:name="_Toc28270"/>
      <w:bookmarkStart w:id="52" w:name="_Toc1524"/>
      <w:bookmarkStart w:id="53" w:name="_Toc17675"/>
      <w:bookmarkStart w:id="54" w:name="_Toc29207"/>
      <w:bookmarkStart w:id="55" w:name="_Toc11985"/>
      <w:r>
        <w:t>落实国土空间安全底线</w:t>
      </w:r>
      <w:bookmarkEnd w:id="51"/>
    </w:p>
    <w:p w14:paraId="45A635A6">
      <w:pPr>
        <w:pStyle w:val="47"/>
        <w:spacing w:before="0" w:beforeLines="0" w:line="596" w:lineRule="exact"/>
        <w:ind w:firstLine="640"/>
        <w:rPr>
          <w:b w:val="0"/>
        </w:rPr>
      </w:pPr>
      <w:bookmarkStart w:id="56" w:name="_Toc19172"/>
      <w:bookmarkStart w:id="57" w:name="_Toc32490"/>
      <w:bookmarkStart w:id="58" w:name="_Toc23223"/>
      <w:r>
        <w:rPr>
          <w:b w:val="0"/>
        </w:rPr>
        <w:t>耕地和永久基本农田</w:t>
      </w:r>
      <w:r>
        <w:rPr>
          <w:rFonts w:hint="eastAsia"/>
          <w:b w:val="0"/>
        </w:rPr>
        <w:t>保护</w:t>
      </w:r>
      <w:r>
        <w:rPr>
          <w:b w:val="0"/>
        </w:rPr>
        <w:t>红线</w:t>
      </w:r>
      <w:bookmarkEnd w:id="56"/>
      <w:bookmarkEnd w:id="57"/>
      <w:bookmarkEnd w:id="58"/>
    </w:p>
    <w:p w14:paraId="52C5481E">
      <w:pPr>
        <w:spacing w:line="596" w:lineRule="exact"/>
        <w:ind w:firstLine="640"/>
        <w:rPr>
          <w:rFonts w:hint="eastAsia" w:cs="Times New Roman"/>
          <w:szCs w:val="32"/>
          <w:u w:val="none"/>
        </w:rPr>
      </w:pPr>
      <w:r>
        <w:rPr>
          <w:rFonts w:hint="eastAsia" w:cs="Times New Roman"/>
          <w:szCs w:val="32"/>
          <w:u w:val="none"/>
        </w:rPr>
        <w:t>全面落实最严格的耕地保护制度，优先划定耕地和永久基本农田保护红线。以2020 年国土变更调查成果为基础，现状耕地应划尽划、应保尽保，落实并细化上位规划下达永久基本农田保护任务。</w:t>
      </w:r>
    </w:p>
    <w:p w14:paraId="5A9DD72D">
      <w:pPr>
        <w:pStyle w:val="47"/>
        <w:spacing w:before="0" w:beforeLines="0" w:line="596" w:lineRule="exact"/>
        <w:ind w:firstLine="640"/>
        <w:rPr>
          <w:b w:val="0"/>
        </w:rPr>
      </w:pPr>
      <w:bookmarkStart w:id="59" w:name="_Toc10071"/>
      <w:bookmarkStart w:id="60" w:name="_Toc17953"/>
      <w:bookmarkStart w:id="61" w:name="_Toc2068"/>
      <w:r>
        <w:rPr>
          <w:b w:val="0"/>
        </w:rPr>
        <w:t>生态保护红线</w:t>
      </w:r>
      <w:bookmarkEnd w:id="59"/>
      <w:bookmarkEnd w:id="60"/>
      <w:bookmarkEnd w:id="61"/>
    </w:p>
    <w:p w14:paraId="4AC22D18">
      <w:pPr>
        <w:spacing w:line="596" w:lineRule="exact"/>
        <w:ind w:firstLine="640"/>
        <w:rPr>
          <w:rFonts w:cs="Times New Roman"/>
          <w:szCs w:val="32"/>
        </w:rPr>
      </w:pPr>
      <w:r>
        <w:rPr>
          <w:rFonts w:cs="Times New Roman"/>
          <w:szCs w:val="32"/>
        </w:rPr>
        <w:t>生态保护红线集中分布于黄河两岸，包括水源涵养生态功能极重要区和整合优化后</w:t>
      </w:r>
      <w:r>
        <w:rPr>
          <w:rFonts w:hint="eastAsia" w:cs="Times New Roman"/>
          <w:szCs w:val="32"/>
          <w:lang w:val="en-US" w:eastAsia="zh-CN"/>
        </w:rPr>
        <w:t>的</w:t>
      </w:r>
      <w:r>
        <w:rPr>
          <w:rFonts w:cs="Times New Roman"/>
          <w:szCs w:val="32"/>
        </w:rPr>
        <w:t>自然保护</w:t>
      </w:r>
      <w:r>
        <w:rPr>
          <w:rFonts w:hint="eastAsia" w:cs="Times New Roman"/>
          <w:szCs w:val="32"/>
          <w:lang w:val="en-US" w:eastAsia="zh-CN"/>
        </w:rPr>
        <w:t>地</w:t>
      </w:r>
      <w:r>
        <w:rPr>
          <w:rFonts w:cs="Times New Roman"/>
          <w:szCs w:val="32"/>
        </w:rPr>
        <w:t>，生态保护红线的功能类型以生物多样性和水源涵养维护为主。</w:t>
      </w:r>
    </w:p>
    <w:p w14:paraId="10E2743C">
      <w:pPr>
        <w:pStyle w:val="47"/>
        <w:spacing w:before="0" w:beforeLines="0" w:line="596" w:lineRule="exact"/>
        <w:ind w:firstLine="640"/>
        <w:rPr>
          <w:b w:val="0"/>
        </w:rPr>
      </w:pPr>
      <w:bookmarkStart w:id="62" w:name="_Toc23654"/>
      <w:bookmarkStart w:id="63" w:name="_Toc21717"/>
      <w:bookmarkStart w:id="64" w:name="_Toc6961"/>
      <w:r>
        <w:rPr>
          <w:b w:val="0"/>
        </w:rPr>
        <w:t>城镇开发边界</w:t>
      </w:r>
      <w:bookmarkEnd w:id="62"/>
      <w:bookmarkEnd w:id="63"/>
      <w:bookmarkEnd w:id="64"/>
    </w:p>
    <w:p w14:paraId="46A22626">
      <w:pPr>
        <w:spacing w:line="596" w:lineRule="exact"/>
        <w:ind w:firstLine="640"/>
        <w:rPr>
          <w:rFonts w:hint="eastAsia" w:cs="Times New Roman"/>
          <w:szCs w:val="32"/>
          <w:u w:val="none"/>
        </w:rPr>
      </w:pPr>
      <w:r>
        <w:rPr>
          <w:rFonts w:hint="eastAsia" w:cs="Times New Roman"/>
          <w:szCs w:val="32"/>
          <w:u w:val="none"/>
        </w:rPr>
        <w:t>为促进城镇空间集约高效、紧凑布局，在优先划定耕地和永久基本农田保护红线、生态保护红线的基础上，合理划定城镇开发边界。</w:t>
      </w:r>
    </w:p>
    <w:p w14:paraId="3A764915">
      <w:pPr>
        <w:pStyle w:val="47"/>
        <w:spacing w:before="0" w:beforeLines="0" w:line="596" w:lineRule="exact"/>
        <w:ind w:firstLine="640"/>
        <w:rPr>
          <w:b w:val="0"/>
        </w:rPr>
      </w:pPr>
      <w:bookmarkStart w:id="65" w:name="_Toc24199"/>
      <w:bookmarkStart w:id="66" w:name="_Toc17965"/>
      <w:bookmarkStart w:id="67" w:name="_Toc24201"/>
      <w:r>
        <w:rPr>
          <w:b w:val="0"/>
        </w:rPr>
        <w:t>洪涝风险控制线</w:t>
      </w:r>
      <w:bookmarkEnd w:id="65"/>
      <w:bookmarkEnd w:id="66"/>
      <w:bookmarkEnd w:id="67"/>
    </w:p>
    <w:p w14:paraId="42BADCFD">
      <w:pPr>
        <w:spacing w:line="596" w:lineRule="exact"/>
        <w:ind w:firstLine="640"/>
        <w:rPr>
          <w:rFonts w:cs="Times New Roman"/>
          <w:szCs w:val="40"/>
          <w:u w:val="none"/>
        </w:rPr>
      </w:pPr>
      <w:r>
        <w:rPr>
          <w:rFonts w:hint="eastAsia" w:cs="Times New Roman"/>
          <w:szCs w:val="40"/>
          <w:u w:val="none"/>
        </w:rPr>
        <w:t>划定黄河、黄蔡河和贺李河洪涝风险控制线</w:t>
      </w:r>
      <w:r>
        <w:rPr>
          <w:rFonts w:cs="Times New Roman"/>
          <w:szCs w:val="40"/>
          <w:u w:val="none"/>
        </w:rPr>
        <w:t>。洪涝风险控制线范围内管控雨洪行泄和蓄滞空间，保障防洪排涝系统的完整性和通达性。</w:t>
      </w:r>
    </w:p>
    <w:p w14:paraId="5F25F209">
      <w:pPr>
        <w:spacing w:line="596" w:lineRule="exact"/>
        <w:ind w:firstLine="640"/>
        <w:rPr>
          <w:rFonts w:cs="Times New Roman"/>
          <w:szCs w:val="40"/>
          <w:u w:val="none"/>
        </w:rPr>
      </w:pPr>
    </w:p>
    <w:p w14:paraId="34BA703A">
      <w:pPr>
        <w:pStyle w:val="47"/>
        <w:spacing w:before="0" w:beforeLines="0" w:line="596" w:lineRule="exact"/>
        <w:ind w:firstLine="640"/>
        <w:rPr>
          <w:b w:val="0"/>
        </w:rPr>
      </w:pPr>
      <w:bookmarkStart w:id="68" w:name="_Toc12094"/>
      <w:bookmarkStart w:id="69" w:name="_Toc13938"/>
      <w:bookmarkStart w:id="70" w:name="_Toc15071"/>
      <w:r>
        <w:rPr>
          <w:b w:val="0"/>
        </w:rPr>
        <w:t>历史文化保护线</w:t>
      </w:r>
      <w:bookmarkEnd w:id="68"/>
      <w:bookmarkEnd w:id="69"/>
      <w:bookmarkEnd w:id="70"/>
    </w:p>
    <w:p w14:paraId="46B38B39">
      <w:pPr>
        <w:spacing w:line="596" w:lineRule="exact"/>
        <w:ind w:firstLine="640"/>
        <w:rPr>
          <w:rFonts w:cs="Times New Roman"/>
          <w:szCs w:val="40"/>
          <w:u w:val="none"/>
        </w:rPr>
      </w:pPr>
      <w:r>
        <w:rPr>
          <w:rFonts w:cs="Times New Roman"/>
          <w:szCs w:val="40"/>
          <w:u w:val="none"/>
        </w:rPr>
        <w:t>落实已划定的1处国家级文物保护单位（焦裕禄</w:t>
      </w:r>
      <w:r>
        <w:rPr>
          <w:rFonts w:hint="eastAsia" w:cs="Times New Roman"/>
          <w:szCs w:val="40"/>
          <w:u w:val="none"/>
        </w:rPr>
        <w:t>烈士</w:t>
      </w:r>
      <w:r>
        <w:rPr>
          <w:rFonts w:cs="Times New Roman"/>
          <w:szCs w:val="40"/>
          <w:u w:val="none"/>
        </w:rPr>
        <w:t>墓）、6处省级文物保护单位（张良墓、国营仪封园艺场旧址、仪封老君营吴家大院、仪封谢家双楼、三义寨渠首闸、黄陵岗塞河功完碑）的保护范围</w:t>
      </w:r>
      <w:r>
        <w:rPr>
          <w:rFonts w:hint="eastAsia" w:cs="Times New Roman"/>
          <w:szCs w:val="40"/>
          <w:u w:val="none"/>
        </w:rPr>
        <w:t>和建设控制地带</w:t>
      </w:r>
      <w:r>
        <w:rPr>
          <w:rFonts w:cs="Times New Roman"/>
          <w:szCs w:val="40"/>
          <w:u w:val="none"/>
        </w:rPr>
        <w:t>。</w:t>
      </w:r>
    </w:p>
    <w:p w14:paraId="7E31D1FF">
      <w:pPr>
        <w:pStyle w:val="3"/>
        <w:numPr>
          <w:ilvl w:val="0"/>
          <w:numId w:val="0"/>
        </w:numPr>
      </w:pPr>
      <w:bookmarkStart w:id="71" w:name="_Toc19623"/>
      <w:r>
        <w:t>第二节 构建国土空间开发保护格局</w:t>
      </w:r>
      <w:bookmarkEnd w:id="52"/>
      <w:bookmarkEnd w:id="53"/>
      <w:bookmarkEnd w:id="71"/>
    </w:p>
    <w:p w14:paraId="327411EF">
      <w:pPr>
        <w:pStyle w:val="47"/>
        <w:spacing w:before="0" w:beforeLines="0" w:line="596" w:lineRule="exact"/>
        <w:ind w:firstLine="640"/>
        <w:rPr>
          <w:b w:val="0"/>
        </w:rPr>
      </w:pPr>
      <w:bookmarkStart w:id="72" w:name="_Toc3841"/>
      <w:bookmarkStart w:id="73" w:name="_Toc31935"/>
      <w:bookmarkStart w:id="74" w:name="_Toc16614"/>
      <w:bookmarkStart w:id="75" w:name="_Toc16853"/>
      <w:bookmarkStart w:id="76" w:name="_Toc26441"/>
      <w:bookmarkStart w:id="77" w:name="_Toc18888"/>
      <w:r>
        <w:rPr>
          <w:b w:val="0"/>
        </w:rPr>
        <w:t>主体功能区战略</w:t>
      </w:r>
      <w:bookmarkEnd w:id="72"/>
      <w:bookmarkEnd w:id="73"/>
      <w:bookmarkEnd w:id="74"/>
    </w:p>
    <w:p w14:paraId="39F6ED69">
      <w:pPr>
        <w:spacing w:line="596" w:lineRule="exact"/>
        <w:ind w:firstLine="640"/>
        <w:rPr>
          <w:rFonts w:cs="Times New Roman"/>
          <w:szCs w:val="40"/>
        </w:rPr>
      </w:pPr>
      <w:r>
        <w:rPr>
          <w:rFonts w:cs="Times New Roman"/>
          <w:szCs w:val="40"/>
        </w:rPr>
        <w:t>落实国家和河南省主体功能区战略格局，确定兰考县为国家级城镇化地区；落实开封市以乡镇、街道为单元细化落地进行的差异化指引，确定城市化地区、农产品主产区、重点生态功能区。</w:t>
      </w:r>
      <w:r>
        <w:rPr>
          <w:rFonts w:hint="eastAsia" w:cs="Times New Roman"/>
          <w:szCs w:val="40"/>
        </w:rPr>
        <w:t>严格落实国家、省关于主体功能区管控要求，项目实施应符合产业准入政策。</w:t>
      </w:r>
    </w:p>
    <w:p w14:paraId="7E55FE00">
      <w:pPr>
        <w:spacing w:line="596" w:lineRule="exact"/>
        <w:ind w:firstLine="640"/>
        <w:rPr>
          <w:rFonts w:cs="Times New Roman"/>
          <w:szCs w:val="40"/>
        </w:rPr>
      </w:pPr>
      <w:r>
        <w:rPr>
          <w:rFonts w:cs="Times New Roman"/>
          <w:szCs w:val="40"/>
        </w:rPr>
        <w:t>城市化地区需进一步高效集聚经济和人口，完善配套政策，优化空间结构，合理提高国土开发强度，引导城镇人口集聚，提高土地利用效率，提升城镇服务功能和创新功能。</w:t>
      </w:r>
    </w:p>
    <w:p w14:paraId="00D4B82E">
      <w:pPr>
        <w:spacing w:line="596" w:lineRule="exact"/>
        <w:ind w:firstLine="640"/>
        <w:rPr>
          <w:rFonts w:cs="Times New Roman"/>
          <w:szCs w:val="40"/>
        </w:rPr>
      </w:pPr>
      <w:r>
        <w:rPr>
          <w:rFonts w:cs="Times New Roman"/>
          <w:szCs w:val="40"/>
        </w:rPr>
        <w:t>农产品主产区侧重严格保护耕地和永久基本农田，重点巩固和提高粮食生产能力，加强农业基础设施建设，实施高标准农田建设工程，增强农业生产能力，促进农村一二三产业融合发展，统筹乡村基础设施和公共服务布局，建设宜居宜业和美乡村，全面推进乡村振兴。</w:t>
      </w:r>
    </w:p>
    <w:p w14:paraId="6356FF24">
      <w:pPr>
        <w:spacing w:line="596" w:lineRule="exact"/>
        <w:ind w:firstLine="640"/>
        <w:rPr>
          <w:rFonts w:cs="Times New Roman"/>
        </w:rPr>
      </w:pPr>
      <w:r>
        <w:rPr>
          <w:rFonts w:cs="Times New Roman"/>
          <w:szCs w:val="40"/>
        </w:rPr>
        <w:t>重点生态功能区重点保障生态安全、维护生态系统服务功能、推进生态系统治理，保持并提高生态产品供给能力，推动生态文明建设、践行绿水青山就是金山银山的理念。</w:t>
      </w:r>
    </w:p>
    <w:p w14:paraId="54EF2558">
      <w:pPr>
        <w:pStyle w:val="47"/>
        <w:spacing w:before="0" w:beforeLines="0" w:line="596" w:lineRule="exact"/>
        <w:ind w:firstLine="640"/>
        <w:rPr>
          <w:b w:val="0"/>
        </w:rPr>
      </w:pPr>
      <w:r>
        <w:rPr>
          <w:b w:val="0"/>
        </w:rPr>
        <w:t>国土空间开发保护格局</w:t>
      </w:r>
      <w:bookmarkEnd w:id="75"/>
      <w:bookmarkEnd w:id="76"/>
      <w:bookmarkEnd w:id="77"/>
    </w:p>
    <w:p w14:paraId="6419DB26">
      <w:pPr>
        <w:spacing w:line="596" w:lineRule="exact"/>
        <w:ind w:firstLine="640"/>
        <w:rPr>
          <w:rFonts w:cs="Times New Roman"/>
          <w:szCs w:val="40"/>
        </w:rPr>
      </w:pPr>
      <w:r>
        <w:rPr>
          <w:rFonts w:cs="Times New Roman"/>
          <w:szCs w:val="40"/>
        </w:rPr>
        <w:t>构建“一带两廊三区三心”的国土空间总体格局。</w:t>
      </w:r>
    </w:p>
    <w:p w14:paraId="3FE72C2E">
      <w:pPr>
        <w:spacing w:line="596" w:lineRule="exact"/>
        <w:ind w:firstLine="640"/>
        <w:rPr>
          <w:rFonts w:cs="Times New Roman"/>
          <w:szCs w:val="40"/>
        </w:rPr>
      </w:pPr>
      <w:r>
        <w:rPr>
          <w:rFonts w:cs="Times New Roman"/>
          <w:szCs w:val="40"/>
        </w:rPr>
        <w:t>“一带”为黄河生态保护带，依托划定的生态保护红线，通过滩区生态综合整治，将其建设成为集防洪护岸、生物栖息、水源涵养等功能为一体的黄河下游绿色生态带。</w:t>
      </w:r>
    </w:p>
    <w:p w14:paraId="1D86927F">
      <w:pPr>
        <w:spacing w:line="596" w:lineRule="exact"/>
        <w:ind w:firstLine="640"/>
        <w:rPr>
          <w:rFonts w:cs="Times New Roman"/>
          <w:szCs w:val="40"/>
        </w:rPr>
      </w:pPr>
      <w:r>
        <w:rPr>
          <w:rFonts w:cs="Times New Roman"/>
          <w:szCs w:val="40"/>
        </w:rPr>
        <w:t>“两廊”为两条黄河故道生态廊道，加强黄河故道上集中连片的林地资源保护，发挥其防风固沙等生态功能。</w:t>
      </w:r>
    </w:p>
    <w:p w14:paraId="306F5E32">
      <w:pPr>
        <w:spacing w:line="596" w:lineRule="exact"/>
        <w:ind w:firstLine="640"/>
        <w:rPr>
          <w:rFonts w:cs="Times New Roman"/>
          <w:szCs w:val="40"/>
        </w:rPr>
      </w:pPr>
      <w:r>
        <w:rPr>
          <w:rFonts w:cs="Times New Roman"/>
          <w:szCs w:val="40"/>
        </w:rPr>
        <w:t>“三区”为北部黄河滩区、西部城镇发展区和东部高效农业区。</w:t>
      </w:r>
    </w:p>
    <w:p w14:paraId="506DBC76">
      <w:pPr>
        <w:spacing w:line="596" w:lineRule="exact"/>
        <w:ind w:firstLine="640"/>
        <w:rPr>
          <w:rFonts w:cs="Times New Roman"/>
          <w:szCs w:val="40"/>
        </w:rPr>
      </w:pPr>
      <w:r>
        <w:rPr>
          <w:rFonts w:cs="Times New Roman"/>
          <w:szCs w:val="40"/>
        </w:rPr>
        <w:t>“三心”为中心城区和</w:t>
      </w:r>
      <w:r>
        <w:rPr>
          <w:rFonts w:hint="eastAsia" w:ascii="仿宋" w:hAnsi="仿宋" w:eastAsia="仿宋" w:cs="仿宋"/>
          <w:szCs w:val="40"/>
        </w:rPr>
        <w:t>堌</w:t>
      </w:r>
      <w:r>
        <w:rPr>
          <w:rFonts w:cs="Times New Roman"/>
          <w:szCs w:val="40"/>
        </w:rPr>
        <w:t>阳、考城两个重点镇。</w:t>
      </w:r>
    </w:p>
    <w:p w14:paraId="5475101B">
      <w:pPr>
        <w:pStyle w:val="47"/>
        <w:spacing w:before="0" w:beforeLines="0" w:line="596" w:lineRule="exact"/>
        <w:ind w:firstLine="640"/>
        <w:rPr>
          <w:b w:val="0"/>
        </w:rPr>
      </w:pPr>
      <w:bookmarkStart w:id="78" w:name="_Toc28709"/>
      <w:bookmarkStart w:id="79" w:name="_Toc4192"/>
      <w:bookmarkStart w:id="80" w:name="_Toc13918"/>
      <w:bookmarkStart w:id="81" w:name="_Toc31173"/>
      <w:r>
        <w:rPr>
          <w:b w:val="0"/>
        </w:rPr>
        <w:t>城乡发展空间</w:t>
      </w:r>
      <w:bookmarkEnd w:id="78"/>
      <w:r>
        <w:rPr>
          <w:b w:val="0"/>
        </w:rPr>
        <w:t>格局</w:t>
      </w:r>
    </w:p>
    <w:p w14:paraId="22DC972C">
      <w:pPr>
        <w:spacing w:line="596" w:lineRule="exact"/>
        <w:ind w:firstLine="640"/>
        <w:rPr>
          <w:rFonts w:cs="Times New Roman"/>
        </w:rPr>
      </w:pPr>
      <w:r>
        <w:rPr>
          <w:rFonts w:cs="Times New Roman"/>
        </w:rPr>
        <w:t>充分发挥中心城区发展引领作用，构建</w:t>
      </w:r>
      <w:r>
        <w:rPr>
          <w:rFonts w:hint="eastAsia" w:cs="Times New Roman"/>
        </w:rPr>
        <w:t>兰考</w:t>
      </w:r>
      <w:r>
        <w:rPr>
          <w:rFonts w:cs="Times New Roman"/>
        </w:rPr>
        <w:t>县域社会经济发展的核心增长极；强化乡镇支撑作用，提升其对乡村的辐射带动作用和农村人口转移承载能力；加强村庄基础作用，与中心城区、乡镇共同构建“头雁领航、雁阵齐飞”纵横成网的城乡居民点体系。</w:t>
      </w:r>
    </w:p>
    <w:p w14:paraId="2FC3EDCB">
      <w:pPr>
        <w:spacing w:line="596" w:lineRule="exact"/>
        <w:ind w:firstLine="640"/>
        <w:rPr>
          <w:rFonts w:cs="Times New Roman"/>
        </w:rPr>
      </w:pPr>
      <w:r>
        <w:rPr>
          <w:rFonts w:cs="Times New Roman"/>
        </w:rPr>
        <w:t>头雁领航：以中心城区作为头雁，起到发展引领的作用，构建</w:t>
      </w:r>
      <w:r>
        <w:rPr>
          <w:rFonts w:hint="eastAsia" w:cs="Times New Roman"/>
        </w:rPr>
        <w:t>兰考县</w:t>
      </w:r>
      <w:r>
        <w:rPr>
          <w:rFonts w:cs="Times New Roman"/>
        </w:rPr>
        <w:t>域社会经济发展的核心增长极。</w:t>
      </w:r>
    </w:p>
    <w:p w14:paraId="68BE94CF">
      <w:pPr>
        <w:spacing w:line="596" w:lineRule="exact"/>
        <w:ind w:firstLine="640"/>
        <w:rPr>
          <w:rFonts w:cs="Times New Roman"/>
        </w:rPr>
      </w:pPr>
      <w:r>
        <w:rPr>
          <w:rFonts w:cs="Times New Roman"/>
        </w:rPr>
        <w:t>雁阵齐飞：以各乡镇和全域村庄为发展重点和基础，提升乡镇对乡村的辐射带动作用和农村人口转移承载能力，培育全域村庄融合发展基础，依托交通线路串点联网，共同构建城乡一体化网络格局。</w:t>
      </w:r>
    </w:p>
    <w:p w14:paraId="6C37DCB4">
      <w:pPr>
        <w:pStyle w:val="47"/>
        <w:spacing w:before="0" w:beforeLines="0" w:line="596" w:lineRule="exact"/>
        <w:ind w:firstLine="640"/>
        <w:rPr>
          <w:b w:val="0"/>
        </w:rPr>
      </w:pPr>
      <w:r>
        <w:rPr>
          <w:b w:val="0"/>
        </w:rPr>
        <w:t>农业发展空间</w:t>
      </w:r>
      <w:bookmarkEnd w:id="79"/>
      <w:bookmarkEnd w:id="80"/>
      <w:bookmarkEnd w:id="81"/>
      <w:r>
        <w:rPr>
          <w:b w:val="0"/>
        </w:rPr>
        <w:t>格局</w:t>
      </w:r>
    </w:p>
    <w:p w14:paraId="0A6FF0A7">
      <w:pPr>
        <w:spacing w:line="596" w:lineRule="exact"/>
        <w:ind w:firstLine="640"/>
        <w:rPr>
          <w:rFonts w:cs="Times New Roman"/>
          <w:szCs w:val="32"/>
        </w:rPr>
      </w:pPr>
      <w:r>
        <w:rPr>
          <w:rFonts w:cs="Times New Roman"/>
          <w:szCs w:val="32"/>
        </w:rPr>
        <w:t>打造“两区覆盖、三园引领、多基地均衡发展”的农业空间布局。</w:t>
      </w:r>
    </w:p>
    <w:p w14:paraId="21BFE3A9">
      <w:pPr>
        <w:spacing w:line="596" w:lineRule="exact"/>
        <w:ind w:firstLine="640"/>
        <w:rPr>
          <w:rFonts w:cs="Times New Roman"/>
          <w:szCs w:val="32"/>
        </w:rPr>
      </w:pPr>
      <w:r>
        <w:rPr>
          <w:rFonts w:cs="Times New Roman"/>
          <w:szCs w:val="32"/>
        </w:rPr>
        <w:t>两区：</w:t>
      </w:r>
      <w:r>
        <w:rPr>
          <w:rFonts w:cs="Times New Roman"/>
        </w:rPr>
        <w:t>兰沈高速以西，发展</w:t>
      </w:r>
      <w:r>
        <w:rPr>
          <w:rFonts w:cs="Times New Roman"/>
          <w:szCs w:val="32"/>
        </w:rPr>
        <w:t>以特色农业为重点的城郊休闲农业种植区；兰沈高速以东，发展以优质小麦等粮食作物种植为重点的高效农业发展区。</w:t>
      </w:r>
    </w:p>
    <w:p w14:paraId="71DCAE05">
      <w:pPr>
        <w:spacing w:line="596" w:lineRule="exact"/>
        <w:ind w:firstLine="640"/>
        <w:rPr>
          <w:rFonts w:cs="Times New Roman"/>
          <w:szCs w:val="32"/>
        </w:rPr>
      </w:pPr>
      <w:r>
        <w:rPr>
          <w:rFonts w:cs="Times New Roman"/>
          <w:szCs w:val="32"/>
        </w:rPr>
        <w:t>三园：</w:t>
      </w:r>
      <w:r>
        <w:rPr>
          <w:rFonts w:cs="Times New Roman"/>
        </w:rPr>
        <w:t>农业高新技术产业示范园</w:t>
      </w:r>
      <w:r>
        <w:rPr>
          <w:rFonts w:cs="Times New Roman"/>
          <w:szCs w:val="32"/>
        </w:rPr>
        <w:t>，兰考县奶牛</w:t>
      </w:r>
      <w:r>
        <w:rPr>
          <w:rFonts w:hint="eastAsia" w:cs="Times New Roman"/>
          <w:szCs w:val="32"/>
        </w:rPr>
        <w:t>省级</w:t>
      </w:r>
      <w:r>
        <w:rPr>
          <w:rFonts w:cs="Times New Roman"/>
          <w:szCs w:val="32"/>
        </w:rPr>
        <w:t>现代农业产业园，兰考</w:t>
      </w:r>
      <w:r>
        <w:rPr>
          <w:rFonts w:hint="eastAsia" w:cs="Times New Roman"/>
          <w:szCs w:val="32"/>
        </w:rPr>
        <w:t>县</w:t>
      </w:r>
      <w:r>
        <w:rPr>
          <w:rFonts w:cs="Times New Roman"/>
          <w:szCs w:val="32"/>
        </w:rPr>
        <w:t>湖羊蜜瓜</w:t>
      </w:r>
      <w:r>
        <w:rPr>
          <w:rFonts w:hint="eastAsia" w:cs="Times New Roman"/>
          <w:szCs w:val="32"/>
        </w:rPr>
        <w:t>省级现代</w:t>
      </w:r>
      <w:r>
        <w:rPr>
          <w:rFonts w:cs="Times New Roman"/>
          <w:szCs w:val="32"/>
        </w:rPr>
        <w:t>农业产业园。</w:t>
      </w:r>
    </w:p>
    <w:p w14:paraId="75E68000">
      <w:pPr>
        <w:spacing w:line="596" w:lineRule="exact"/>
        <w:ind w:firstLine="640"/>
        <w:rPr>
          <w:rFonts w:cs="Times New Roman"/>
          <w:szCs w:val="32"/>
        </w:rPr>
      </w:pPr>
      <w:r>
        <w:rPr>
          <w:rFonts w:cs="Times New Roman"/>
          <w:bCs/>
          <w:szCs w:val="32"/>
        </w:rPr>
        <w:t>多基地：</w:t>
      </w:r>
      <w:r>
        <w:rPr>
          <w:rFonts w:cs="Times New Roman"/>
          <w:szCs w:val="32"/>
        </w:rPr>
        <w:t>重点发展兰考新三宝、林果等优势种植业及奶牛、湖羊等养殖业，培育优质花生、蜜瓜、番茄、红薯、林果和万头奶牛、湖羊等特色种养殖基地，优化兰考县农业种养结构。</w:t>
      </w:r>
    </w:p>
    <w:p w14:paraId="55D2E4D1">
      <w:pPr>
        <w:spacing w:line="596" w:lineRule="exact"/>
        <w:ind w:firstLine="640"/>
        <w:rPr>
          <w:rFonts w:cs="Times New Roman"/>
          <w:szCs w:val="32"/>
        </w:rPr>
      </w:pPr>
      <w:r>
        <w:rPr>
          <w:rFonts w:cs="Times New Roman"/>
          <w:szCs w:val="32"/>
        </w:rPr>
        <w:t>合理布局畜禽养殖用地，以生态环境分区管控为指导，实施分区分类管控，合理划定禁止养殖区、控制养殖区和适合养殖区；尽量利用未利用地、低效闲置的土地以及工矿废弃地等土地，不占或少占耕地，避让永久基本农田。加大畜禽养殖用地支持力度，养殖生产及其直接关联的畜禽粪污处理等农业设施用地，可</w:t>
      </w:r>
      <w:r>
        <w:rPr>
          <w:rFonts w:hint="eastAsia" w:cs="Times New Roman"/>
          <w:szCs w:val="32"/>
        </w:rPr>
        <w:t>依法使用</w:t>
      </w:r>
      <w:r>
        <w:rPr>
          <w:rFonts w:cs="Times New Roman"/>
          <w:szCs w:val="32"/>
        </w:rPr>
        <w:t>一般耕地。加大林地对畜牧业发展的支持，依法依规办理使用林地手续。鼓励节约使用畜禽养殖用地，引导适度规模标准化养殖，提高土地利用效率。</w:t>
      </w:r>
    </w:p>
    <w:p w14:paraId="184979B0">
      <w:pPr>
        <w:pStyle w:val="47"/>
        <w:spacing w:before="0" w:beforeLines="0" w:line="596" w:lineRule="exact"/>
        <w:ind w:firstLine="640"/>
        <w:rPr>
          <w:b w:val="0"/>
        </w:rPr>
      </w:pPr>
      <w:r>
        <w:rPr>
          <w:b w:val="0"/>
        </w:rPr>
        <w:t>生态保护空间格局</w:t>
      </w:r>
    </w:p>
    <w:p w14:paraId="1908F951">
      <w:pPr>
        <w:spacing w:line="596" w:lineRule="exact"/>
        <w:ind w:firstLine="640"/>
        <w:rPr>
          <w:rFonts w:cs="Times New Roman"/>
        </w:rPr>
      </w:pPr>
      <w:r>
        <w:rPr>
          <w:rFonts w:cs="Times New Roman"/>
        </w:rPr>
        <w:t>构建“一带两廊”的生态保护格局。</w:t>
      </w:r>
    </w:p>
    <w:p w14:paraId="64E76012">
      <w:pPr>
        <w:spacing w:line="596" w:lineRule="exact"/>
        <w:ind w:firstLine="640"/>
        <w:rPr>
          <w:rFonts w:cs="Times New Roman"/>
        </w:rPr>
      </w:pPr>
      <w:r>
        <w:rPr>
          <w:rFonts w:cs="Times New Roman"/>
        </w:rPr>
        <w:t>“一带”为黄河生态带，作为黄河生态廊道的重要组成部分，依托划定的生态保护红线，通过滩区生态</w:t>
      </w:r>
      <w:r>
        <w:rPr>
          <w:rFonts w:hint="eastAsia" w:cs="Times New Roman"/>
        </w:rPr>
        <w:t>修复和国土</w:t>
      </w:r>
      <w:r>
        <w:rPr>
          <w:rFonts w:cs="Times New Roman"/>
        </w:rPr>
        <w:t>综合整治，将其建设成为集防洪护岸、生物栖息、水源涵养等功能为一体的黄河绿色生态带。</w:t>
      </w:r>
    </w:p>
    <w:p w14:paraId="20CF8C09">
      <w:pPr>
        <w:spacing w:line="596" w:lineRule="exact"/>
        <w:ind w:firstLine="640"/>
        <w:rPr>
          <w:rFonts w:cs="Times New Roman"/>
        </w:rPr>
      </w:pPr>
      <w:r>
        <w:rPr>
          <w:rFonts w:cs="Times New Roman"/>
        </w:rPr>
        <w:t>“两廊”为南北两条黄河故道生态廊道，结合位于黄河故道上的引黄干渠和集中连片的林地资源，构建南北两条黄河故道生态廊道，通过加强林业资源的保护和干渠水系治理，强化其防风固沙、调节气候等生态功能。</w:t>
      </w:r>
    </w:p>
    <w:p w14:paraId="69AB3D1E">
      <w:pPr>
        <w:pStyle w:val="47"/>
        <w:spacing w:before="0" w:beforeLines="0" w:line="596" w:lineRule="exact"/>
        <w:ind w:firstLine="640"/>
        <w:rPr>
          <w:b w:val="0"/>
        </w:rPr>
      </w:pPr>
      <w:r>
        <w:rPr>
          <w:b w:val="0"/>
        </w:rPr>
        <w:t>县域国土空间规划分区</w:t>
      </w:r>
    </w:p>
    <w:p w14:paraId="2BDA5D6B">
      <w:pPr>
        <w:spacing w:line="596" w:lineRule="exact"/>
        <w:ind w:firstLine="640"/>
        <w:rPr>
          <w:rFonts w:cs="Times New Roman"/>
          <w:szCs w:val="40"/>
        </w:rPr>
      </w:pPr>
      <w:r>
        <w:rPr>
          <w:rFonts w:cs="Times New Roman"/>
          <w:szCs w:val="40"/>
        </w:rPr>
        <w:t>农田保护区。以“三区三线”划定成果中的永久基本农田</w:t>
      </w:r>
      <w:r>
        <w:rPr>
          <w:rFonts w:hint="eastAsia" w:cs="Times New Roman"/>
          <w:szCs w:val="40"/>
        </w:rPr>
        <w:t>红线</w:t>
      </w:r>
      <w:r>
        <w:rPr>
          <w:rFonts w:cs="Times New Roman"/>
          <w:szCs w:val="40"/>
        </w:rPr>
        <w:t>为基础划定农田保护区。</w:t>
      </w:r>
    </w:p>
    <w:p w14:paraId="6D5A9B54">
      <w:pPr>
        <w:spacing w:line="596" w:lineRule="exact"/>
        <w:ind w:firstLine="640"/>
        <w:rPr>
          <w:rFonts w:cs="Times New Roman"/>
          <w:szCs w:val="40"/>
        </w:rPr>
      </w:pPr>
      <w:r>
        <w:rPr>
          <w:rFonts w:cs="Times New Roman"/>
          <w:szCs w:val="40"/>
        </w:rPr>
        <w:t>生态保护区。以“三区三线”划定成果中的生态保护红线为基础划定生态保护区，其中包括整合后的自然保护</w:t>
      </w:r>
      <w:r>
        <w:rPr>
          <w:rFonts w:hint="eastAsia" w:cs="Times New Roman"/>
          <w:szCs w:val="40"/>
          <w:lang w:val="en-US" w:eastAsia="zh-CN"/>
        </w:rPr>
        <w:t>地</w:t>
      </w:r>
      <w:r>
        <w:rPr>
          <w:rFonts w:cs="Times New Roman"/>
          <w:szCs w:val="40"/>
        </w:rPr>
        <w:t>和双评价中确定的生态功能极重要区。</w:t>
      </w:r>
    </w:p>
    <w:p w14:paraId="1F86083F">
      <w:pPr>
        <w:spacing w:line="596" w:lineRule="exact"/>
        <w:ind w:firstLine="640"/>
        <w:rPr>
          <w:rFonts w:cs="Times New Roman"/>
          <w:szCs w:val="40"/>
        </w:rPr>
      </w:pPr>
      <w:r>
        <w:rPr>
          <w:rFonts w:cs="Times New Roman"/>
          <w:szCs w:val="40"/>
        </w:rPr>
        <w:t>生态控制区。将县域范围内未划入生态保护区和城镇发展区的主要水系划入生态控制区。包括未划入生态保护区和城镇发展区的河流及干渠。</w:t>
      </w:r>
    </w:p>
    <w:p w14:paraId="12FE6D13">
      <w:pPr>
        <w:spacing w:line="596" w:lineRule="exact"/>
        <w:ind w:firstLine="640"/>
        <w:rPr>
          <w:rFonts w:cs="Times New Roman"/>
          <w:szCs w:val="40"/>
        </w:rPr>
      </w:pPr>
      <w:r>
        <w:rPr>
          <w:rFonts w:cs="Times New Roman"/>
          <w:szCs w:val="40"/>
        </w:rPr>
        <w:t>城镇发展区。以“三区三线”划定成果中的城镇开发边界为基础划定城镇发展区。在城镇开发边界内建设，实行“详细规划+规划许可”的管制方式，并加强与水体保护线、绿地系统线、基础设施建设控制线、历史文化保护线等控制线的协同管控。</w:t>
      </w:r>
    </w:p>
    <w:p w14:paraId="5B4FC154">
      <w:pPr>
        <w:spacing w:line="596" w:lineRule="exact"/>
        <w:ind w:firstLine="640"/>
        <w:rPr>
          <w:rFonts w:hint="eastAsia" w:eastAsia="仿宋_GB2312" w:cs="Times New Roman"/>
          <w:szCs w:val="40"/>
          <w:lang w:eastAsia="zh-CN"/>
        </w:rPr>
      </w:pPr>
      <w:r>
        <w:rPr>
          <w:rFonts w:cs="Times New Roman"/>
          <w:szCs w:val="40"/>
        </w:rPr>
        <w:t>乡村发展区。将村庄、一般农区等划入乡村发展区</w:t>
      </w:r>
      <w:r>
        <w:rPr>
          <w:rFonts w:hint="eastAsia" w:cs="Times New Roman"/>
          <w:szCs w:val="40"/>
          <w:lang w:eastAsia="zh-CN"/>
        </w:rPr>
        <w:t>。</w:t>
      </w:r>
    </w:p>
    <w:bookmarkEnd w:id="54"/>
    <w:bookmarkEnd w:id="55"/>
    <w:p w14:paraId="6F27ABFF">
      <w:pPr>
        <w:pStyle w:val="3"/>
        <w:numPr>
          <w:ilvl w:val="0"/>
          <w:numId w:val="0"/>
        </w:numPr>
      </w:pPr>
      <w:bookmarkStart w:id="82" w:name="_Toc2495"/>
      <w:r>
        <w:t>第三节 融入郑开同城协同发展</w:t>
      </w:r>
      <w:bookmarkEnd w:id="82"/>
    </w:p>
    <w:p w14:paraId="1FA7AD63">
      <w:pPr>
        <w:pStyle w:val="47"/>
        <w:spacing w:before="0" w:beforeLines="0" w:line="596" w:lineRule="exact"/>
        <w:ind w:firstLine="640"/>
        <w:rPr>
          <w:b w:val="0"/>
        </w:rPr>
      </w:pPr>
      <w:bookmarkStart w:id="83" w:name="_Toc19296"/>
      <w:r>
        <w:rPr>
          <w:b w:val="0"/>
        </w:rPr>
        <w:t>产业协作</w:t>
      </w:r>
      <w:bookmarkEnd w:id="83"/>
    </w:p>
    <w:p w14:paraId="29B8635E">
      <w:pPr>
        <w:spacing w:line="596" w:lineRule="exact"/>
        <w:ind w:firstLine="640"/>
        <w:rPr>
          <w:rFonts w:cs="Times New Roman"/>
        </w:rPr>
      </w:pPr>
      <w:r>
        <w:rPr>
          <w:rFonts w:cs="Times New Roman"/>
        </w:rPr>
        <w:t>加快郑州、开封两地资金、技术、人才、信息等资源要素向兰考的辐射扩散，优化两地生产力布局，与郑州合作共建产业园区；支持现代家居、节能环保等制造领域的合作交流，促进</w:t>
      </w:r>
      <w:r>
        <w:rPr>
          <w:rFonts w:hint="eastAsia" w:cs="Times New Roman"/>
        </w:rPr>
        <w:t>兰考县</w:t>
      </w:r>
      <w:r>
        <w:rPr>
          <w:rFonts w:cs="Times New Roman"/>
        </w:rPr>
        <w:t>数字经济与制造业深度融合发展；积极发展集智能交通、智能枢纽、多式联运于一体的区域物流体系，融入郑州都市圈物流网，最终实现与郑州互联互通。</w:t>
      </w:r>
    </w:p>
    <w:p w14:paraId="5E1B69B7">
      <w:pPr>
        <w:pStyle w:val="47"/>
        <w:spacing w:before="0" w:beforeLines="0" w:line="596" w:lineRule="exact"/>
        <w:ind w:firstLine="640"/>
        <w:rPr>
          <w:b w:val="0"/>
        </w:rPr>
      </w:pPr>
      <w:bookmarkStart w:id="84" w:name="_Toc11056"/>
      <w:r>
        <w:rPr>
          <w:b w:val="0"/>
        </w:rPr>
        <w:t>交通互联</w:t>
      </w:r>
      <w:bookmarkEnd w:id="84"/>
    </w:p>
    <w:p w14:paraId="6B535C01">
      <w:pPr>
        <w:spacing w:line="596" w:lineRule="exact"/>
        <w:ind w:firstLine="640"/>
      </w:pPr>
      <w:r>
        <w:rPr>
          <w:rFonts w:cs="Times New Roman"/>
        </w:rPr>
        <w:t>交通互联，实施郑开同城快速互通战略。建立多层次、立体化、跨区域的交通网络体系，加快菏兰高铁建设，强力推进区域内S312、开商城际、郑开大道至</w:t>
      </w:r>
      <w:r>
        <w:rPr>
          <w:rFonts w:hint="eastAsia" w:cs="Times New Roman"/>
        </w:rPr>
        <w:t>兰考县</w:t>
      </w:r>
      <w:r>
        <w:rPr>
          <w:rFonts w:cs="Times New Roman"/>
        </w:rPr>
        <w:t>等快速路网扩容改造提升，实现兰考与郑开快速互联互通；通过开商城际、开港城际实现兰考与郑州航空港互联互通。</w:t>
      </w:r>
    </w:p>
    <w:p w14:paraId="2A6EACAE">
      <w:pPr>
        <w:pStyle w:val="47"/>
        <w:spacing w:before="0" w:beforeLines="0" w:line="596" w:lineRule="exact"/>
        <w:ind w:firstLine="640"/>
        <w:rPr>
          <w:b w:val="0"/>
        </w:rPr>
      </w:pPr>
      <w:bookmarkStart w:id="85" w:name="_Toc9592"/>
      <w:r>
        <w:rPr>
          <w:b w:val="0"/>
        </w:rPr>
        <w:t>生态共育</w:t>
      </w:r>
      <w:bookmarkEnd w:id="85"/>
    </w:p>
    <w:p w14:paraId="219C5F18">
      <w:pPr>
        <w:spacing w:line="596" w:lineRule="exact"/>
        <w:ind w:firstLine="640"/>
        <w:rPr>
          <w:rFonts w:cs="Times New Roman"/>
        </w:rPr>
      </w:pPr>
      <w:r>
        <w:rPr>
          <w:rFonts w:cs="Times New Roman"/>
        </w:rPr>
        <w:t>生态共育，共建生态保护带。加强区域协同发展，与郑州、开封、长垣、封丘等市县共建黄河流域生态保护和高质量发展示范引领区；实施小流域治理，持续推进河道治理和疏通工作，减缓黄河下游淤积，确保黄河沿岸安全；加强生态环境保护，促进河流生态系统健康，提高生物多样性。统筹协同黄河上下游、左右岸之间合作，共同打造黄河下游生态保护和高质量发展样板。</w:t>
      </w:r>
    </w:p>
    <w:p w14:paraId="2248766A">
      <w:pPr>
        <w:pStyle w:val="47"/>
        <w:spacing w:before="0" w:beforeLines="0" w:line="596" w:lineRule="exact"/>
        <w:ind w:firstLine="640"/>
        <w:rPr>
          <w:b w:val="0"/>
        </w:rPr>
      </w:pPr>
      <w:bookmarkStart w:id="86" w:name="_Toc29038"/>
      <w:r>
        <w:rPr>
          <w:b w:val="0"/>
        </w:rPr>
        <w:t>文化共传</w:t>
      </w:r>
    </w:p>
    <w:p w14:paraId="229ABCD4">
      <w:pPr>
        <w:spacing w:line="596" w:lineRule="exact"/>
        <w:ind w:firstLine="640"/>
        <w:rPr>
          <w:rFonts w:cs="Times New Roman"/>
        </w:rPr>
      </w:pPr>
      <w:r>
        <w:rPr>
          <w:rFonts w:cs="Times New Roman"/>
        </w:rPr>
        <w:t>高质量融入郑州、开封文化旅游路线，实现研学文旅、红色教育等资源与郑州、开封共建共享；建设焦裕禄精神教育体验基地，打造焦裕禄精神研学经典线路；持续提升焦裕禄干部学院办学水平，推动兰考与郑州大学等高等院校加强合作研究。</w:t>
      </w:r>
    </w:p>
    <w:p w14:paraId="50984D4C">
      <w:pPr>
        <w:spacing w:line="596" w:lineRule="exact"/>
        <w:ind w:firstLine="640"/>
        <w:rPr>
          <w:rFonts w:cs="Times New Roman"/>
        </w:rPr>
      </w:pPr>
      <w:r>
        <w:rPr>
          <w:rFonts w:cs="Times New Roman"/>
        </w:rPr>
        <w:t>深度融入郑汴洛世界级文化旅游带建设，完善沿黄湿地公园和绿色廊道体系，建设黄河湾风景区；打造国家级研学旅游示范基地，谋划高能级文旅项目和品牌，共建智慧旅游服务平台。</w:t>
      </w:r>
    </w:p>
    <w:p w14:paraId="3090FB89">
      <w:pPr>
        <w:pStyle w:val="47"/>
        <w:spacing w:before="0" w:beforeLines="0" w:line="596" w:lineRule="exact"/>
        <w:ind w:firstLine="640"/>
        <w:rPr>
          <w:b w:val="0"/>
        </w:rPr>
      </w:pPr>
      <w:r>
        <w:rPr>
          <w:b w:val="0"/>
        </w:rPr>
        <w:t>公服</w:t>
      </w:r>
      <w:bookmarkEnd w:id="86"/>
      <w:r>
        <w:rPr>
          <w:b w:val="0"/>
        </w:rPr>
        <w:t>共享</w:t>
      </w:r>
    </w:p>
    <w:p w14:paraId="3FF31581">
      <w:pPr>
        <w:spacing w:line="596" w:lineRule="exact"/>
        <w:ind w:firstLine="640"/>
        <w:rPr>
          <w:rFonts w:cs="Times New Roman"/>
        </w:rPr>
      </w:pPr>
      <w:r>
        <w:rPr>
          <w:rFonts w:cs="Times New Roman"/>
        </w:rPr>
        <w:t>以均衡普惠、整体提升、区域共享为导向，覆盖全年龄段、全生命周期的优质公共服务供给，实现公共服务设施共建共享。引导</w:t>
      </w:r>
      <w:r>
        <w:rPr>
          <w:rFonts w:hint="eastAsia" w:cs="Times New Roman"/>
        </w:rPr>
        <w:t>河南</w:t>
      </w:r>
      <w:r>
        <w:rPr>
          <w:rFonts w:cs="Times New Roman"/>
        </w:rPr>
        <w:t>省内外学校开展跨区域合作办学；争创省级产教融合试点，吸引国内高水平大学在</w:t>
      </w:r>
      <w:r>
        <w:rPr>
          <w:rFonts w:hint="eastAsia" w:cs="Times New Roman"/>
        </w:rPr>
        <w:t>兰考县</w:t>
      </w:r>
      <w:r>
        <w:rPr>
          <w:rFonts w:cs="Times New Roman"/>
        </w:rPr>
        <w:t>办学、合作设立研究院（所）；深化县域医共体建设，推动符合条件的县级医院升级为三级医院，支持郑州大学第一附属医院等</w:t>
      </w:r>
      <w:r>
        <w:rPr>
          <w:rFonts w:hint="eastAsia" w:cs="Times New Roman"/>
        </w:rPr>
        <w:t>河南省</w:t>
      </w:r>
      <w:r>
        <w:rPr>
          <w:rFonts w:cs="Times New Roman"/>
        </w:rPr>
        <w:t>知名医疗机构在</w:t>
      </w:r>
      <w:r>
        <w:rPr>
          <w:rFonts w:hint="eastAsia" w:cs="Times New Roman"/>
        </w:rPr>
        <w:t>兰考县</w:t>
      </w:r>
      <w:r>
        <w:rPr>
          <w:rFonts w:cs="Times New Roman"/>
        </w:rPr>
        <w:t>设立医疗分支机构。</w:t>
      </w:r>
    </w:p>
    <w:p w14:paraId="4C7F0694">
      <w:pPr>
        <w:spacing w:line="596" w:lineRule="exact"/>
        <w:ind w:firstLine="640"/>
        <w:rPr>
          <w:rFonts w:cs="Times New Roman"/>
        </w:rPr>
      </w:pPr>
    </w:p>
    <w:p w14:paraId="6A11B96D">
      <w:pPr>
        <w:pStyle w:val="47"/>
        <w:spacing w:before="0" w:beforeLines="0" w:line="596" w:lineRule="exact"/>
        <w:ind w:firstLine="640"/>
        <w:rPr>
          <w:b w:val="0"/>
        </w:rPr>
      </w:pPr>
      <w:bookmarkStart w:id="87" w:name="_Toc23625"/>
      <w:r>
        <w:rPr>
          <w:b w:val="0"/>
        </w:rPr>
        <w:t>设施</w:t>
      </w:r>
      <w:bookmarkEnd w:id="87"/>
      <w:r>
        <w:rPr>
          <w:b w:val="0"/>
        </w:rPr>
        <w:t>共建</w:t>
      </w:r>
    </w:p>
    <w:p w14:paraId="2C8AC553">
      <w:pPr>
        <w:spacing w:line="596" w:lineRule="exact"/>
        <w:ind w:firstLine="640"/>
      </w:pPr>
      <w:r>
        <w:rPr>
          <w:rFonts w:cs="Times New Roman"/>
        </w:rPr>
        <w:t>推动</w:t>
      </w:r>
      <w:r>
        <w:rPr>
          <w:rFonts w:hint="eastAsia" w:cs="Times New Roman"/>
        </w:rPr>
        <w:t>兰考县</w:t>
      </w:r>
      <w:r>
        <w:rPr>
          <w:rFonts w:cs="Times New Roman"/>
        </w:rPr>
        <w:t>能源、水利、信息等基础设施全面融入郑州、开封基础设施网络，加快提升支撑保障能力，形成区域互联互通、布局合理、管理协同的现代化基础设施体系“一张网”。统筹能源设施布局，加强城乡增量配电网建设；协同提升水资源保障能力，形成以黄河水为主、南水北调水为补充的地表饮用水供给保障体系；实施老牛圈和二坝寨引黄调蓄、黄河兰考段清淤、东坝头控导、四明堂险工改建加固、堤沟河治理和改建加固等防洪工程；加快新型基础设施和智慧应用超前布局，推进城镇基础设施改造和智能化升级，实现5G基站全覆盖，建设智慧城市和数字乡村。</w:t>
      </w:r>
      <w:r>
        <w:br w:type="page"/>
      </w:r>
      <w:bookmarkStart w:id="88" w:name="_Toc5747"/>
      <w:bookmarkStart w:id="89" w:name="_Toc16076"/>
    </w:p>
    <w:p w14:paraId="433D8F74">
      <w:pPr>
        <w:ind w:firstLine="0" w:firstLineChars="0"/>
        <w:rPr>
          <w:rFonts w:cs="Times New Roman"/>
        </w:rPr>
      </w:pPr>
    </w:p>
    <w:p w14:paraId="0C61CB5C">
      <w:pPr>
        <w:pStyle w:val="2"/>
        <w:numPr>
          <w:ilvl w:val="0"/>
          <w:numId w:val="1"/>
        </w:numPr>
        <w:spacing w:before="200" w:beforeLines="0" w:after="400" w:afterLines="0" w:line="596" w:lineRule="exact"/>
        <w:rPr>
          <w:color w:val="auto"/>
        </w:rPr>
      </w:pPr>
      <w:bookmarkStart w:id="90" w:name="_Toc21340"/>
      <w:r>
        <w:rPr>
          <w:color w:val="auto"/>
        </w:rPr>
        <w:t>保护资源实现安全永续发展</w:t>
      </w:r>
      <w:bookmarkEnd w:id="90"/>
    </w:p>
    <w:p w14:paraId="5273D120">
      <w:pPr>
        <w:pStyle w:val="3"/>
        <w:numPr>
          <w:ilvl w:val="0"/>
          <w:numId w:val="6"/>
        </w:numPr>
      </w:pPr>
      <w:bookmarkStart w:id="91" w:name="_Toc6987"/>
      <w:r>
        <w:t>严格保护耕地</w:t>
      </w:r>
      <w:bookmarkEnd w:id="88"/>
      <w:bookmarkEnd w:id="89"/>
      <w:r>
        <w:t>资源</w:t>
      </w:r>
      <w:bookmarkEnd w:id="91"/>
    </w:p>
    <w:p w14:paraId="4B6C5797">
      <w:pPr>
        <w:pStyle w:val="47"/>
        <w:spacing w:before="0" w:beforeLines="0" w:line="596" w:lineRule="exact"/>
        <w:ind w:firstLine="640"/>
        <w:rPr>
          <w:b w:val="0"/>
        </w:rPr>
      </w:pPr>
      <w:bookmarkStart w:id="92" w:name="_Toc6644"/>
      <w:r>
        <w:rPr>
          <w:b w:val="0"/>
        </w:rPr>
        <w:t>坚持最严格耕地保护制度</w:t>
      </w:r>
    </w:p>
    <w:p w14:paraId="72E48866">
      <w:pPr>
        <w:spacing w:line="596" w:lineRule="exact"/>
        <w:ind w:firstLine="640"/>
        <w:rPr>
          <w:rFonts w:cs="Times New Roman"/>
          <w:szCs w:val="40"/>
        </w:rPr>
      </w:pPr>
      <w:r>
        <w:rPr>
          <w:rFonts w:cs="Times New Roman"/>
          <w:szCs w:val="40"/>
        </w:rPr>
        <w:t>严格落实耕地保护目标责任制，将耕地保护目标纳入领导任期考核，按照“数、线、图”一致要求，将耕地保护目标和永久基本农田保护任务带位置带坐标分解落实至各乡镇，落实最严格的耕地保护制度，严守耕地保护红线，严格控制耕地转为园地、林地等其他农用地。对耕地保护任务完成情况进行定期考核，实行耕地保护党政同责、终身追责。</w:t>
      </w:r>
    </w:p>
    <w:p w14:paraId="2E04ED14">
      <w:pPr>
        <w:pStyle w:val="47"/>
        <w:spacing w:before="0" w:beforeLines="0" w:line="596" w:lineRule="exact"/>
        <w:ind w:firstLine="640" w:firstLineChars="200"/>
        <w:rPr>
          <w:b w:val="0"/>
        </w:rPr>
      </w:pPr>
      <w:r>
        <w:rPr>
          <w:b w:val="0"/>
        </w:rPr>
        <w:t>稳妥有序推进耕地恢复</w:t>
      </w:r>
    </w:p>
    <w:p w14:paraId="7E0514AA">
      <w:pPr>
        <w:spacing w:line="596" w:lineRule="exact"/>
        <w:ind w:firstLine="640"/>
        <w:rPr>
          <w:rFonts w:cs="Times New Roman"/>
          <w:szCs w:val="40"/>
        </w:rPr>
      </w:pPr>
      <w:r>
        <w:rPr>
          <w:rFonts w:cs="Times New Roman"/>
          <w:szCs w:val="40"/>
        </w:rPr>
        <w:t>按照国家核定的耕地保护责任缺口，在考虑自然地理条件、粮食生产和重要农产品保障、群众意愿、种植作物市场状况等基础上，以不破坏生态、不涉及生态区位重要或生态脆弱地区等为前提，</w:t>
      </w:r>
      <w:r>
        <w:rPr>
          <w:rFonts w:hint="eastAsia" w:cs="Times New Roman"/>
          <w:szCs w:val="40"/>
        </w:rPr>
        <w:t>按照上级下达的耕地恢复任务，逐年开展耕地恢复工作。建立</w:t>
      </w:r>
      <w:r>
        <w:rPr>
          <w:rFonts w:cs="Times New Roman"/>
          <w:szCs w:val="40"/>
        </w:rPr>
        <w:t>恢复类耕地潜力库，</w:t>
      </w:r>
      <w:r>
        <w:rPr>
          <w:rFonts w:hint="eastAsia" w:cs="Times New Roman"/>
          <w:szCs w:val="40"/>
        </w:rPr>
        <w:t>通过综合整治等措施，</w:t>
      </w:r>
      <w:r>
        <w:rPr>
          <w:rFonts w:cs="Times New Roman"/>
          <w:szCs w:val="40"/>
        </w:rPr>
        <w:t>按照稳妥有序、先易后难、科学合理、实事求是的原则，</w:t>
      </w:r>
      <w:r>
        <w:rPr>
          <w:rFonts w:hint="eastAsia" w:cs="Times New Roman"/>
          <w:szCs w:val="40"/>
        </w:rPr>
        <w:t>逐年开展耕地恢复工作。</w:t>
      </w:r>
    </w:p>
    <w:p w14:paraId="7922FC30">
      <w:pPr>
        <w:pStyle w:val="47"/>
        <w:spacing w:before="0" w:beforeLines="0" w:line="596" w:lineRule="exact"/>
        <w:ind w:firstLine="640"/>
        <w:rPr>
          <w:b w:val="0"/>
        </w:rPr>
      </w:pPr>
      <w:r>
        <w:rPr>
          <w:b w:val="0"/>
        </w:rPr>
        <w:t>落实耕地</w:t>
      </w:r>
      <w:r>
        <w:rPr>
          <w:rFonts w:hint="eastAsia"/>
          <w:b w:val="0"/>
        </w:rPr>
        <w:t>“</w:t>
      </w:r>
      <w:r>
        <w:rPr>
          <w:b w:val="0"/>
        </w:rPr>
        <w:t>占补平衡</w:t>
      </w:r>
      <w:r>
        <w:rPr>
          <w:rFonts w:hint="eastAsia"/>
          <w:b w:val="0"/>
        </w:rPr>
        <w:t>”</w:t>
      </w:r>
      <w:bookmarkEnd w:id="92"/>
    </w:p>
    <w:p w14:paraId="4C7C2F3D">
      <w:pPr>
        <w:spacing w:line="596" w:lineRule="exact"/>
        <w:ind w:firstLine="640"/>
        <w:rPr>
          <w:rFonts w:cs="Times New Roman"/>
          <w:szCs w:val="40"/>
        </w:rPr>
      </w:pPr>
      <w:r>
        <w:rPr>
          <w:rFonts w:hint="eastAsia" w:cs="Times New Roman"/>
          <w:szCs w:val="40"/>
        </w:rPr>
        <w:t>按照“以补定占、先补后占、占一补一、占优补优、占水田补水田”的原则，严格落实耕地“占补平衡”。通过土地综合整治和耕地“占补平衡”节余指标利用，实现规划期内补充耕地。其中，通过耕地后备资源开发</w:t>
      </w:r>
      <w:r>
        <w:rPr>
          <w:rFonts w:hint="eastAsia" w:cs="Times New Roman"/>
          <w:szCs w:val="40"/>
          <w:lang w:eastAsia="zh-CN"/>
        </w:rPr>
        <w:t>、</w:t>
      </w:r>
      <w:r>
        <w:rPr>
          <w:rFonts w:hint="eastAsia" w:cs="Times New Roman"/>
          <w:szCs w:val="40"/>
        </w:rPr>
        <w:t>农用地整理</w:t>
      </w:r>
      <w:r>
        <w:rPr>
          <w:rFonts w:hint="eastAsia" w:cs="Times New Roman"/>
          <w:szCs w:val="40"/>
          <w:lang w:eastAsia="zh-CN"/>
        </w:rPr>
        <w:t>、</w:t>
      </w:r>
      <w:r>
        <w:rPr>
          <w:rFonts w:hint="eastAsia" w:ascii="仿宋_GB2312" w:hAnsi="仿宋_GB2312" w:cs="仿宋_GB2312"/>
          <w:szCs w:val="40"/>
        </w:rPr>
        <w:t>农村建设用地整治补充耕地</w:t>
      </w:r>
      <w:r>
        <w:rPr>
          <w:rFonts w:hint="eastAsia" w:cs="Times New Roman"/>
          <w:szCs w:val="40"/>
        </w:rPr>
        <w:t>。其余通过补充耕地储备库内剩余耕地“占补平衡”指标补充耕地面积</w:t>
      </w:r>
      <w:r>
        <w:rPr>
          <w:rFonts w:hint="eastAsia" w:cs="Times New Roman"/>
          <w:szCs w:val="40"/>
          <w:lang w:eastAsia="zh-CN"/>
        </w:rPr>
        <w:t>，</w:t>
      </w:r>
      <w:r>
        <w:rPr>
          <w:rFonts w:hint="eastAsia" w:cs="Times New Roman"/>
          <w:szCs w:val="40"/>
        </w:rPr>
        <w:t>确保补充耕地不低于新增建设占用耕地规模，并加强对补充耕地的后期管护</w:t>
      </w:r>
      <w:r>
        <w:rPr>
          <w:rFonts w:cs="Times New Roman"/>
          <w:szCs w:val="40"/>
        </w:rPr>
        <w:t>。</w:t>
      </w:r>
    </w:p>
    <w:p w14:paraId="6B525446">
      <w:pPr>
        <w:spacing w:line="596" w:lineRule="exact"/>
        <w:ind w:firstLine="640"/>
        <w:rPr>
          <w:rFonts w:cs="Times New Roman"/>
          <w:szCs w:val="40"/>
        </w:rPr>
      </w:pPr>
      <w:r>
        <w:rPr>
          <w:rFonts w:hint="eastAsia" w:cs="Times New Roman"/>
          <w:szCs w:val="40"/>
        </w:rPr>
        <w:t>严格控制优质耕地转为其他农用地。以年度国土变更调查为基础，对耕地转为其他农用地及农业设施建设用地的，应当补足同等数量、质量的可以长期稳定利用耕地。优先整治恢复第三次全国国土调查标注属性为即可恢复、工程恢复的其他农用地，以及不再使用的设施农业用地</w:t>
      </w:r>
      <w:r>
        <w:rPr>
          <w:rFonts w:cs="Times New Roman"/>
          <w:szCs w:val="40"/>
        </w:rPr>
        <w:t>。</w:t>
      </w:r>
    </w:p>
    <w:p w14:paraId="78B2186D">
      <w:pPr>
        <w:pStyle w:val="47"/>
        <w:spacing w:before="0" w:beforeLines="0" w:line="596" w:lineRule="exact"/>
        <w:ind w:firstLine="640"/>
        <w:rPr>
          <w:b w:val="0"/>
        </w:rPr>
      </w:pPr>
      <w:bookmarkStart w:id="93" w:name="_Toc7170"/>
      <w:r>
        <w:rPr>
          <w:b w:val="0"/>
        </w:rPr>
        <w:t>加强耕地用途管控</w:t>
      </w:r>
      <w:bookmarkEnd w:id="93"/>
    </w:p>
    <w:p w14:paraId="55EDA935">
      <w:pPr>
        <w:spacing w:line="596" w:lineRule="exact"/>
        <w:ind w:firstLine="640"/>
        <w:rPr>
          <w:rFonts w:cs="Times New Roman"/>
          <w:szCs w:val="32"/>
        </w:rPr>
      </w:pPr>
      <w:r>
        <w:rPr>
          <w:rFonts w:cs="Times New Roman"/>
          <w:szCs w:val="32"/>
        </w:rPr>
        <w:t>完善和落实最严格的耕地保护制度，坚决遏制耕地“非农化”、永久基本农田特别是高标准农田“非粮化”，有效保障国家粮食安全。明确耕地利用优先序，确保耕地主要用于粮食和棉、油、糖、蔬</w:t>
      </w:r>
      <w:r>
        <w:rPr>
          <w:rFonts w:hint="eastAsia" w:cs="Times New Roman"/>
          <w:szCs w:val="32"/>
        </w:rPr>
        <w:t>菜</w:t>
      </w:r>
      <w:r>
        <w:rPr>
          <w:rFonts w:cs="Times New Roman"/>
          <w:szCs w:val="32"/>
        </w:rPr>
        <w:t>等农产品及饲料生产，永久基本农田重点用于粮食生产，高标准农田原则上全部用于粮食生产；严格控制耕地转为其他类型农用地，严禁违规占用耕地绿化造林、挖湖造景和超标准建设绿色通道。</w:t>
      </w:r>
    </w:p>
    <w:p w14:paraId="11004C77">
      <w:pPr>
        <w:spacing w:line="596" w:lineRule="exact"/>
        <w:ind w:firstLine="640"/>
        <w:rPr>
          <w:rFonts w:cs="Times New Roman"/>
          <w:szCs w:val="32"/>
        </w:rPr>
      </w:pPr>
      <w:r>
        <w:rPr>
          <w:rFonts w:cs="Times New Roman"/>
          <w:szCs w:val="32"/>
        </w:rPr>
        <w:t>加强农村地区建设用地审批和乡村建设规划许可管理，严禁违反规划搞非农建设、乱占耕地建房，落实农村宅基地“一户一宅”规定，强化农业设施建设用地监管；严格永久基本农田管理，除国务院批准的重点建设项目外，任何单位和个人不得改变或者占用永久基本农田，禁止破坏其耕作层，禁止闲置、荒芜。严格保护耕地质量，有效防止水土流失、耕地沙化、盐碱化等，科学合理使用农药和施用肥料，</w:t>
      </w:r>
      <w:r>
        <w:rPr>
          <w:rFonts w:hint="eastAsia" w:cs="Times New Roman"/>
          <w:szCs w:val="32"/>
        </w:rPr>
        <w:t>推行耕地污染防治行动，强化耕地污染源头管控，</w:t>
      </w:r>
      <w:r>
        <w:rPr>
          <w:rFonts w:cs="Times New Roman"/>
          <w:szCs w:val="32"/>
        </w:rPr>
        <w:t>建立和完善耕地质量动态监测与预警体系。加大灾毁耕地防治</w:t>
      </w:r>
      <w:r>
        <w:rPr>
          <w:rFonts w:hint="eastAsia" w:cs="Times New Roman"/>
          <w:szCs w:val="32"/>
        </w:rPr>
        <w:t>和复耕</w:t>
      </w:r>
      <w:r>
        <w:rPr>
          <w:rFonts w:cs="Times New Roman"/>
          <w:szCs w:val="32"/>
        </w:rPr>
        <w:t>力度</w:t>
      </w:r>
      <w:r>
        <w:rPr>
          <w:rFonts w:hint="eastAsia" w:cs="Times New Roman"/>
          <w:szCs w:val="32"/>
        </w:rPr>
        <w:t>，</w:t>
      </w:r>
      <w:r>
        <w:rPr>
          <w:rFonts w:cs="Times New Roman"/>
          <w:szCs w:val="32"/>
        </w:rPr>
        <w:t>加强耕地抗灾能力建设，</w:t>
      </w:r>
      <w:r>
        <w:rPr>
          <w:rFonts w:hint="eastAsia" w:cs="Times New Roman"/>
          <w:szCs w:val="32"/>
        </w:rPr>
        <w:t>通过落实耕地保护措施和</w:t>
      </w:r>
      <w:r>
        <w:rPr>
          <w:rFonts w:hint="eastAsia" w:cs="Times New Roman"/>
          <w:szCs w:val="40"/>
        </w:rPr>
        <w:t>完善农田水利配套设施</w:t>
      </w:r>
      <w:r>
        <w:rPr>
          <w:rFonts w:hint="eastAsia" w:cs="Times New Roman"/>
          <w:szCs w:val="32"/>
        </w:rPr>
        <w:t>等，加大耕地抗灾能力的建设，及时复垦灾毁耕地，减少自然灾害损毁耕地数量，</w:t>
      </w:r>
      <w:r>
        <w:rPr>
          <w:rFonts w:cs="Times New Roman"/>
          <w:szCs w:val="32"/>
        </w:rPr>
        <w:t>保障农业生产稳定发展</w:t>
      </w:r>
      <w:r>
        <w:rPr>
          <w:rFonts w:hint="eastAsia" w:cs="Times New Roman"/>
          <w:szCs w:val="32"/>
        </w:rPr>
        <w:t>。</w:t>
      </w:r>
    </w:p>
    <w:p w14:paraId="4F3F3A9D">
      <w:pPr>
        <w:pStyle w:val="47"/>
        <w:spacing w:before="0" w:beforeLines="0" w:line="596" w:lineRule="exact"/>
        <w:ind w:firstLine="640"/>
        <w:rPr>
          <w:b w:val="0"/>
        </w:rPr>
      </w:pPr>
      <w:bookmarkStart w:id="94" w:name="_Toc14585"/>
      <w:r>
        <w:rPr>
          <w:b w:val="0"/>
        </w:rPr>
        <w:t>推进高标准农田建设</w:t>
      </w:r>
      <w:bookmarkEnd w:id="94"/>
    </w:p>
    <w:p w14:paraId="7BF3AF3A">
      <w:pPr>
        <w:spacing w:line="596" w:lineRule="exact"/>
        <w:ind w:firstLine="640"/>
        <w:rPr>
          <w:rFonts w:cs="Times New Roman"/>
        </w:rPr>
      </w:pPr>
      <w:r>
        <w:rPr>
          <w:rFonts w:cs="Times New Roman"/>
          <w:szCs w:val="32"/>
        </w:rPr>
        <w:t>持续开展高标准农田建设，促进耕地集中连片与质量提升，</w:t>
      </w:r>
      <w:r>
        <w:rPr>
          <w:rFonts w:cs="Times New Roman"/>
          <w:bCs/>
          <w:szCs w:val="32"/>
        </w:rPr>
        <w:t>全方位夯实粮食安全根基，强化藏粮于地、藏粮于技的物质基础。</w:t>
      </w:r>
      <w:r>
        <w:rPr>
          <w:rFonts w:cs="Times New Roman"/>
          <w:szCs w:val="32"/>
        </w:rPr>
        <w:t>到2035年将永久基本农田全部建成高标准农田，进一步巩固提升已有高标准农田质量。</w:t>
      </w:r>
    </w:p>
    <w:p w14:paraId="75916CCB">
      <w:pPr>
        <w:pStyle w:val="47"/>
        <w:spacing w:before="0" w:beforeLines="0" w:line="596" w:lineRule="exact"/>
        <w:ind w:firstLine="640"/>
        <w:rPr>
          <w:b w:val="0"/>
        </w:rPr>
      </w:pPr>
      <w:bookmarkStart w:id="95" w:name="_Toc15587"/>
      <w:r>
        <w:rPr>
          <w:b w:val="0"/>
        </w:rPr>
        <w:t>加快永久基本农田储备区建设</w:t>
      </w:r>
      <w:bookmarkEnd w:id="95"/>
    </w:p>
    <w:p w14:paraId="5C157583">
      <w:pPr>
        <w:spacing w:line="596" w:lineRule="exact"/>
        <w:ind w:firstLine="640"/>
        <w:rPr>
          <w:rFonts w:cs="Times New Roman"/>
          <w:szCs w:val="32"/>
        </w:rPr>
      </w:pPr>
      <w:r>
        <w:rPr>
          <w:rFonts w:cs="Times New Roman"/>
          <w:szCs w:val="32"/>
        </w:rPr>
        <w:t>将土地整理复垦开发和新建高标准农田增加的优质耕地划入永久基本农田储备区，确保永久基本农田总量动态平衡。</w:t>
      </w:r>
    </w:p>
    <w:p w14:paraId="47050FE1">
      <w:pPr>
        <w:pStyle w:val="3"/>
        <w:numPr>
          <w:ilvl w:val="0"/>
          <w:numId w:val="6"/>
        </w:numPr>
      </w:pPr>
      <w:bookmarkStart w:id="96" w:name="_Toc19360"/>
      <w:bookmarkStart w:id="97" w:name="_Toc19425"/>
      <w:bookmarkStart w:id="98" w:name="_Toc7898"/>
      <w:r>
        <w:t>全面保护生态</w:t>
      </w:r>
      <w:bookmarkEnd w:id="96"/>
      <w:bookmarkEnd w:id="97"/>
      <w:r>
        <w:t>资源</w:t>
      </w:r>
      <w:bookmarkEnd w:id="98"/>
    </w:p>
    <w:p w14:paraId="5C568D0D">
      <w:pPr>
        <w:pStyle w:val="47"/>
        <w:spacing w:before="0" w:beforeLines="0" w:line="596" w:lineRule="exact"/>
        <w:ind w:firstLine="640"/>
        <w:rPr>
          <w:b w:val="0"/>
        </w:rPr>
      </w:pPr>
      <w:bookmarkStart w:id="99" w:name="_Toc867"/>
      <w:bookmarkStart w:id="100" w:name="_Toc31238"/>
      <w:bookmarkStart w:id="101" w:name="_Toc1509"/>
      <w:r>
        <w:rPr>
          <w:b w:val="0"/>
        </w:rPr>
        <w:t>自然保护地</w:t>
      </w:r>
      <w:bookmarkEnd w:id="99"/>
      <w:bookmarkEnd w:id="100"/>
      <w:bookmarkEnd w:id="101"/>
      <w:r>
        <w:rPr>
          <w:b w:val="0"/>
        </w:rPr>
        <w:t>保护</w:t>
      </w:r>
    </w:p>
    <w:p w14:paraId="4EFB9449">
      <w:pPr>
        <w:spacing w:line="596" w:lineRule="exact"/>
        <w:ind w:firstLine="616"/>
        <w:rPr>
          <w:rFonts w:cs="Times New Roman"/>
        </w:rPr>
      </w:pPr>
      <w:r>
        <w:rPr>
          <w:rFonts w:hint="eastAsia" w:cs="Times New Roman"/>
          <w:spacing w:val="-6"/>
          <w:szCs w:val="40"/>
        </w:rPr>
        <w:t>依托重要的自然生态系统、自然景观等，建立具有兰考县特色的自然保护地体系。</w:t>
      </w:r>
    </w:p>
    <w:p w14:paraId="1D650381">
      <w:pPr>
        <w:spacing w:line="596" w:lineRule="exact"/>
        <w:ind w:firstLine="640"/>
        <w:rPr>
          <w:rFonts w:cs="Times New Roman"/>
          <w:u w:val="single"/>
        </w:rPr>
      </w:pPr>
      <w:r>
        <w:rPr>
          <w:rFonts w:cs="Times New Roman"/>
        </w:rPr>
        <w:t>严格落实自然保护地管控要求，协调自然保护地内矛盾冲突。</w:t>
      </w:r>
      <w:r>
        <w:rPr>
          <w:rFonts w:hint="eastAsia" w:cs="Times New Roman"/>
          <w:u w:val="none"/>
        </w:rPr>
        <w:t>自然保护地核心保护区原则上禁止人为活动；一般保护区</w:t>
      </w:r>
      <w:r>
        <w:rPr>
          <w:rFonts w:cs="Times New Roman"/>
          <w:u w:val="none"/>
        </w:rPr>
        <w:t>严格限制开发性、建设性活动，除国家重大战略项目以及规定的8类有限人为活动外，不得开展其他建设活动。</w:t>
      </w:r>
    </w:p>
    <w:p w14:paraId="7BD809DB">
      <w:pPr>
        <w:pStyle w:val="47"/>
        <w:spacing w:before="0" w:beforeLines="0" w:line="596" w:lineRule="exact"/>
        <w:ind w:firstLine="640"/>
        <w:rPr>
          <w:b w:val="0"/>
        </w:rPr>
      </w:pPr>
      <w:bookmarkStart w:id="102" w:name="_Toc9348"/>
      <w:bookmarkStart w:id="103" w:name="_Toc14521"/>
      <w:bookmarkStart w:id="104" w:name="_Toc20817"/>
      <w:bookmarkStart w:id="105" w:name="_Toc22368"/>
      <w:bookmarkStart w:id="106" w:name="_Toc16636"/>
      <w:bookmarkStart w:id="107" w:name="_Toc3828"/>
      <w:r>
        <w:rPr>
          <w:b w:val="0"/>
        </w:rPr>
        <w:t>滩区生态保护</w:t>
      </w:r>
    </w:p>
    <w:p w14:paraId="6283AF5A">
      <w:pPr>
        <w:spacing w:line="596" w:lineRule="exact"/>
        <w:ind w:firstLine="640"/>
        <w:rPr>
          <w:rFonts w:cs="Times New Roman"/>
        </w:rPr>
      </w:pPr>
      <w:r>
        <w:rPr>
          <w:rFonts w:hint="eastAsia" w:cs="Times New Roman"/>
        </w:rPr>
        <w:t>通过生态修复和国土综合整治加强滩区内生态保护。其中生态空间以自然修复为主；农业空间以国土综合整治为主，重点实施滩区村庄迁建，同步推进养殖场拆迁和养殖鱼塘退养，农业生产应科学合理使用农药、化肥，提高化肥的利用率；积极调整种植结构，开展农业废弃物资源化利用，推广循环农业生产模式，减少污染物排放</w:t>
      </w:r>
      <w:r>
        <w:rPr>
          <w:rFonts w:cs="Times New Roman"/>
        </w:rPr>
        <w:t>。</w:t>
      </w:r>
    </w:p>
    <w:p w14:paraId="17B5DD4F">
      <w:pPr>
        <w:pStyle w:val="47"/>
        <w:spacing w:before="0" w:beforeLines="0" w:line="596" w:lineRule="exact"/>
        <w:ind w:firstLine="640"/>
        <w:rPr>
          <w:b w:val="0"/>
        </w:rPr>
      </w:pPr>
      <w:r>
        <w:rPr>
          <w:b w:val="0"/>
        </w:rPr>
        <w:t>生物多样性保护</w:t>
      </w:r>
    </w:p>
    <w:p w14:paraId="4ED673D0">
      <w:pPr>
        <w:spacing w:line="596" w:lineRule="exact"/>
        <w:ind w:firstLine="640"/>
        <w:rPr>
          <w:rFonts w:cs="Times New Roman"/>
        </w:rPr>
      </w:pPr>
      <w:r>
        <w:rPr>
          <w:rFonts w:cs="Times New Roman"/>
        </w:rPr>
        <w:t>加强以河南开封柳园口省级湿地自然保护区为核心的生物多样性保护优先区域的保护监管，明确重点生态功能区生物多样性保护和管控政策，为野生动植物栖息和繁衍提供良好生存环境；因地制宜科学构建促进物种迁徙和基因交流的蓝绿生态廊道，着力解决自然景观破碎化、保护区域孤岛化、生态连通性降低等问题；统筹考虑生态系统完整性和自然地理单元连续性，统筹推进田林水一体化保护和修复，科学规范开展生态工程建设；加强农田、森林、水域等区域外来入侵物种的监测、预警、控制和清除等工作，维护本地生态系统安全。</w:t>
      </w:r>
    </w:p>
    <w:p w14:paraId="01D88677">
      <w:pPr>
        <w:pStyle w:val="3"/>
        <w:numPr>
          <w:ilvl w:val="0"/>
          <w:numId w:val="6"/>
        </w:numPr>
      </w:pPr>
      <w:bookmarkStart w:id="108" w:name="_Toc25864"/>
      <w:r>
        <w:t>积极保护林业</w:t>
      </w:r>
      <w:bookmarkEnd w:id="102"/>
      <w:bookmarkEnd w:id="103"/>
      <w:bookmarkEnd w:id="104"/>
      <w:bookmarkEnd w:id="105"/>
      <w:r>
        <w:t>资源</w:t>
      </w:r>
      <w:bookmarkEnd w:id="108"/>
    </w:p>
    <w:p w14:paraId="08C996B7">
      <w:pPr>
        <w:pStyle w:val="47"/>
        <w:spacing w:before="0" w:beforeLines="0" w:line="596" w:lineRule="exact"/>
        <w:ind w:firstLine="640"/>
        <w:rPr>
          <w:b w:val="0"/>
        </w:rPr>
      </w:pPr>
      <w:bookmarkStart w:id="109" w:name="_Toc24482"/>
      <w:r>
        <w:rPr>
          <w:b w:val="0"/>
        </w:rPr>
        <w:t>林地保护目标</w:t>
      </w:r>
      <w:bookmarkEnd w:id="106"/>
      <w:bookmarkEnd w:id="107"/>
      <w:bookmarkEnd w:id="109"/>
    </w:p>
    <w:p w14:paraId="3583B92E">
      <w:pPr>
        <w:spacing w:line="596" w:lineRule="exact"/>
        <w:ind w:firstLine="640"/>
        <w:rPr>
          <w:rFonts w:cs="Times New Roman"/>
          <w:szCs w:val="32"/>
        </w:rPr>
      </w:pPr>
      <w:bookmarkStart w:id="110" w:name="_Toc23170"/>
      <w:bookmarkStart w:id="111" w:name="_Toc26579"/>
      <w:r>
        <w:rPr>
          <w:rFonts w:cs="Times New Roman"/>
          <w:szCs w:val="32"/>
        </w:rPr>
        <w:t>全面保护和合理利用林地，严格林地用途管制，加强林地生态建设，优化林地布局和结构。规划期内，森林质量明显提升，森林效能显著增强，森林覆盖率不低于上级下达指标。</w:t>
      </w:r>
    </w:p>
    <w:p w14:paraId="3D3EF0AF">
      <w:pPr>
        <w:pStyle w:val="47"/>
        <w:spacing w:before="0" w:beforeLines="0" w:line="596" w:lineRule="exact"/>
        <w:ind w:firstLine="640"/>
        <w:rPr>
          <w:b w:val="0"/>
        </w:rPr>
      </w:pPr>
      <w:bookmarkStart w:id="112" w:name="_Toc5171"/>
      <w:r>
        <w:rPr>
          <w:b w:val="0"/>
        </w:rPr>
        <w:t>造林绿化空间</w:t>
      </w:r>
      <w:bookmarkEnd w:id="110"/>
      <w:bookmarkEnd w:id="111"/>
      <w:bookmarkEnd w:id="112"/>
    </w:p>
    <w:p w14:paraId="0735F962">
      <w:pPr>
        <w:spacing w:line="596" w:lineRule="exact"/>
        <w:ind w:firstLine="640"/>
        <w:rPr>
          <w:rFonts w:cs="Times New Roman"/>
          <w:szCs w:val="32"/>
        </w:rPr>
      </w:pPr>
      <w:bookmarkStart w:id="113" w:name="_Toc9780"/>
      <w:bookmarkStart w:id="114" w:name="_Toc26908"/>
      <w:r>
        <w:rPr>
          <w:rFonts w:cs="Times New Roman"/>
          <w:szCs w:val="32"/>
        </w:rPr>
        <w:t>新增造林绿化用地应避让耕地，利用农村四旁隙地、边角地、废弃坑塘等非耕地区域，将绿化任务和成果落到地块，</w:t>
      </w:r>
      <w:bookmarkStart w:id="115" w:name="_Hlk130890354"/>
      <w:r>
        <w:rPr>
          <w:rFonts w:cs="Times New Roman"/>
          <w:szCs w:val="32"/>
        </w:rPr>
        <w:t>实现精细化管理。</w:t>
      </w:r>
      <w:bookmarkEnd w:id="115"/>
    </w:p>
    <w:p w14:paraId="1FE82E4B">
      <w:pPr>
        <w:pStyle w:val="47"/>
        <w:spacing w:before="0" w:beforeLines="0" w:line="596" w:lineRule="exact"/>
        <w:ind w:firstLine="640"/>
        <w:rPr>
          <w:b w:val="0"/>
        </w:rPr>
      </w:pPr>
      <w:bookmarkStart w:id="116" w:name="_Toc16496"/>
      <w:r>
        <w:rPr>
          <w:b w:val="0"/>
        </w:rPr>
        <w:t>林地布局优化</w:t>
      </w:r>
      <w:bookmarkEnd w:id="113"/>
      <w:bookmarkEnd w:id="114"/>
      <w:bookmarkEnd w:id="116"/>
    </w:p>
    <w:p w14:paraId="2EEABDD9">
      <w:pPr>
        <w:spacing w:line="596" w:lineRule="exact"/>
        <w:ind w:firstLine="640"/>
        <w:rPr>
          <w:rFonts w:cs="Times New Roman"/>
          <w:szCs w:val="40"/>
        </w:rPr>
      </w:pPr>
      <w:r>
        <w:rPr>
          <w:rFonts w:cs="Times New Roman"/>
          <w:szCs w:val="40"/>
        </w:rPr>
        <w:t>重点推进县域东部明清黄河故道范围内低质低效林的提质改造和布局优化，形成黄河故道集生态廊道、生态安全屏障、生态文化风光带三位一体的综合防护林带；优化日南高速、陇海铁路等重要交通廊道两侧的防护林建设，减少区域交通</w:t>
      </w:r>
      <w:r>
        <w:rPr>
          <w:rFonts w:hint="eastAsia" w:cs="Times New Roman"/>
          <w:szCs w:val="40"/>
        </w:rPr>
        <w:t>对</w:t>
      </w:r>
      <w:r>
        <w:rPr>
          <w:rFonts w:cs="Times New Roman"/>
          <w:szCs w:val="40"/>
        </w:rPr>
        <w:t>本地环境的影响；加强金花湖、金牛湖、泡桐公园的保护，为城市发展提供良好的生态屏障。</w:t>
      </w:r>
    </w:p>
    <w:p w14:paraId="0F8CD0AD">
      <w:pPr>
        <w:pStyle w:val="47"/>
        <w:spacing w:before="0" w:beforeLines="0" w:line="596" w:lineRule="exact"/>
        <w:ind w:firstLine="640"/>
        <w:rPr>
          <w:b w:val="0"/>
        </w:rPr>
      </w:pPr>
      <w:bookmarkStart w:id="117" w:name="_Toc10972"/>
      <w:r>
        <w:rPr>
          <w:b w:val="0"/>
        </w:rPr>
        <w:t>林业资源保护利用</w:t>
      </w:r>
      <w:bookmarkEnd w:id="117"/>
    </w:p>
    <w:p w14:paraId="0FB0BCA3">
      <w:pPr>
        <w:spacing w:line="596" w:lineRule="exact"/>
        <w:ind w:firstLine="640"/>
        <w:rPr>
          <w:rFonts w:cs="Times New Roman"/>
          <w:szCs w:val="32"/>
        </w:rPr>
      </w:pPr>
      <w:r>
        <w:rPr>
          <w:rFonts w:cs="Times New Roman"/>
          <w:szCs w:val="32"/>
        </w:rPr>
        <w:t>深入推进林长制，严格落实管护责任制。实行分级管理，全面加强林地资源保护，守好生态环境安全底线。巩固提升生态系统碳汇能力，加强重大林业有害生物防治，保护古树名木及其自然环境，推进森林城市建设。</w:t>
      </w:r>
    </w:p>
    <w:p w14:paraId="437F5098">
      <w:pPr>
        <w:spacing w:line="596" w:lineRule="exact"/>
        <w:ind w:firstLine="640"/>
        <w:rPr>
          <w:rFonts w:cs="Times New Roman"/>
          <w:szCs w:val="40"/>
        </w:rPr>
      </w:pPr>
      <w:r>
        <w:rPr>
          <w:rFonts w:cs="Times New Roman"/>
          <w:szCs w:val="40"/>
        </w:rPr>
        <w:t>在符合林地保护要求和不影响生态功能的前提下，适度开展林下经济、森林旅游等。合理安排造纸林场、仪封园艺场、柳林林场等商品林区域的林业生产，为板材加工、民族乐器生产、家居制造等产业提供优质原材料。</w:t>
      </w:r>
    </w:p>
    <w:p w14:paraId="5FF01CED">
      <w:pPr>
        <w:pStyle w:val="47"/>
        <w:spacing w:before="0" w:beforeLines="0" w:line="596" w:lineRule="exact"/>
        <w:ind w:firstLine="640"/>
        <w:rPr>
          <w:b w:val="0"/>
        </w:rPr>
      </w:pPr>
      <w:bookmarkStart w:id="118" w:name="_Toc30555"/>
      <w:r>
        <w:rPr>
          <w:b w:val="0"/>
        </w:rPr>
        <w:t>林地用途管制</w:t>
      </w:r>
      <w:bookmarkEnd w:id="118"/>
    </w:p>
    <w:p w14:paraId="4F15F7A8">
      <w:pPr>
        <w:spacing w:line="596" w:lineRule="exact"/>
        <w:ind w:firstLine="640"/>
        <w:rPr>
          <w:rFonts w:cs="Times New Roman"/>
          <w:szCs w:val="32"/>
        </w:rPr>
      </w:pPr>
      <w:r>
        <w:rPr>
          <w:rFonts w:cs="Times New Roman"/>
          <w:szCs w:val="40"/>
        </w:rPr>
        <w:t>严</w:t>
      </w:r>
      <w:r>
        <w:rPr>
          <w:rFonts w:cs="Times New Roman"/>
          <w:szCs w:val="32"/>
        </w:rPr>
        <w:t>格执行限额采伐和凭证采伐的管理制度。各项建设工程，应以不占或者少占林地为原则，必须占用或者征收征用林地的，应当依法办理审核手续；禁止将林地转为水域、草地等其他土地；加大对临时占用林地和灾毁林地的修复力度。</w:t>
      </w:r>
    </w:p>
    <w:p w14:paraId="522B175A">
      <w:pPr>
        <w:pStyle w:val="3"/>
        <w:numPr>
          <w:ilvl w:val="0"/>
          <w:numId w:val="6"/>
        </w:numPr>
      </w:pPr>
      <w:bookmarkStart w:id="119" w:name="_Toc8968"/>
      <w:bookmarkStart w:id="120" w:name="_Toc14108"/>
      <w:bookmarkStart w:id="121" w:name="_Toc19906"/>
      <w:bookmarkStart w:id="122" w:name="_Toc27392"/>
      <w:bookmarkStart w:id="123" w:name="_Toc31740"/>
      <w:r>
        <w:t>强化保护水资源</w:t>
      </w:r>
      <w:bookmarkEnd w:id="119"/>
      <w:bookmarkEnd w:id="120"/>
      <w:bookmarkEnd w:id="121"/>
      <w:bookmarkEnd w:id="122"/>
      <w:bookmarkEnd w:id="123"/>
    </w:p>
    <w:p w14:paraId="671F2680">
      <w:pPr>
        <w:pStyle w:val="47"/>
        <w:spacing w:before="0" w:beforeLines="0" w:line="596" w:lineRule="exact"/>
        <w:ind w:firstLine="640"/>
        <w:rPr>
          <w:b w:val="0"/>
        </w:rPr>
      </w:pPr>
      <w:bookmarkStart w:id="124" w:name="_Toc3893"/>
      <w:bookmarkStart w:id="125" w:name="_Toc30118"/>
      <w:bookmarkStart w:id="126" w:name="_Toc4355"/>
      <w:r>
        <w:rPr>
          <w:b w:val="0"/>
        </w:rPr>
        <w:t>水资源供需平衡</w:t>
      </w:r>
      <w:bookmarkEnd w:id="124"/>
      <w:bookmarkEnd w:id="125"/>
      <w:bookmarkEnd w:id="126"/>
    </w:p>
    <w:p w14:paraId="1C177E5E">
      <w:pPr>
        <w:spacing w:line="596" w:lineRule="exact"/>
        <w:ind w:firstLine="640"/>
        <w:rPr>
          <w:rFonts w:cs="Times New Roman"/>
          <w:szCs w:val="40"/>
        </w:rPr>
      </w:pPr>
      <w:r>
        <w:rPr>
          <w:rFonts w:hint="eastAsia" w:cs="Times New Roman"/>
          <w:szCs w:val="40"/>
        </w:rPr>
        <w:t>严控用水量总量，落实最严格的水资源管理制度，强化产业园区、重大产业布局等建设项目水资源约束，严格限制高耗水产业布局。加大节水管理，推广新工艺、新技术应用，提高工业用水重复利用率和农业灌溉用水效率，创建节水型社会。2035年</w:t>
      </w:r>
      <w:r>
        <w:rPr>
          <w:rFonts w:hint="eastAsia" w:cs="Times New Roman"/>
          <w:szCs w:val="40"/>
          <w:lang w:val="en-US" w:eastAsia="zh-CN"/>
        </w:rPr>
        <w:t>用水总量依据上级下达指标确定</w:t>
      </w:r>
      <w:r>
        <w:rPr>
          <w:rFonts w:hint="eastAsia" w:cs="Times New Roman"/>
          <w:szCs w:val="40"/>
        </w:rPr>
        <w:t>。</w:t>
      </w:r>
    </w:p>
    <w:p w14:paraId="0BF837AE">
      <w:pPr>
        <w:spacing w:line="596" w:lineRule="exact"/>
        <w:ind w:firstLine="640"/>
        <w:rPr>
          <w:rFonts w:cs="Times New Roman"/>
          <w:szCs w:val="32"/>
        </w:rPr>
      </w:pPr>
      <w:r>
        <w:rPr>
          <w:rFonts w:hint="eastAsia" w:cs="Times New Roman"/>
          <w:szCs w:val="40"/>
        </w:rPr>
        <w:t>合理利用地表水、减少使用地下水、加强利用南水北调水和引黄水等外调水、加大利用再生水，强化供水控制，优化供水水源结构。在高效用水和合理安排用水结构的前提下，实现水资源供需平衡。</w:t>
      </w:r>
    </w:p>
    <w:p w14:paraId="494A8BF0">
      <w:pPr>
        <w:pStyle w:val="47"/>
        <w:spacing w:before="0" w:beforeLines="0" w:line="596" w:lineRule="exact"/>
        <w:ind w:firstLine="640"/>
        <w:rPr>
          <w:b w:val="0"/>
        </w:rPr>
      </w:pPr>
      <w:bookmarkStart w:id="127" w:name="_Toc26231"/>
      <w:bookmarkStart w:id="128" w:name="_Toc14830"/>
      <w:bookmarkStart w:id="129" w:name="_Toc21759"/>
      <w:r>
        <w:rPr>
          <w:b w:val="0"/>
        </w:rPr>
        <w:t>水资源保护</w:t>
      </w:r>
      <w:bookmarkEnd w:id="127"/>
      <w:bookmarkEnd w:id="128"/>
      <w:bookmarkEnd w:id="129"/>
    </w:p>
    <w:p w14:paraId="31BC8049">
      <w:pPr>
        <w:spacing w:line="596" w:lineRule="exact"/>
        <w:ind w:firstLine="640"/>
        <w:rPr>
          <w:rFonts w:cs="Times New Roman"/>
          <w:szCs w:val="40"/>
        </w:rPr>
      </w:pPr>
      <w:r>
        <w:rPr>
          <w:rFonts w:hint="eastAsia" w:cs="Times New Roman"/>
          <w:szCs w:val="40"/>
        </w:rPr>
        <w:t>加强水资源管理。实行严格的水资源管理制度，规范和管理自备井开采地下水行为，对地下水资源进行统一管理和调配。加强地下水超采综合治理，控制开采地下水，涵养地下水源，逐步实现地下水采补平衡。</w:t>
      </w:r>
    </w:p>
    <w:p w14:paraId="32F9DC33">
      <w:pPr>
        <w:spacing w:line="596" w:lineRule="exact"/>
        <w:ind w:firstLine="640"/>
        <w:rPr>
          <w:rFonts w:cs="Times New Roman"/>
          <w:szCs w:val="40"/>
        </w:rPr>
      </w:pPr>
      <w:r>
        <w:rPr>
          <w:rFonts w:hint="eastAsia" w:cs="Times New Roman"/>
          <w:szCs w:val="40"/>
        </w:rPr>
        <w:t>设立水源地保护区。划定一级保护区和二级保护区进行保护，严禁从事不符合其发展方向的各类开发建设活动。</w:t>
      </w:r>
    </w:p>
    <w:p w14:paraId="1AA8618E">
      <w:pPr>
        <w:spacing w:line="596" w:lineRule="exact"/>
        <w:ind w:firstLine="640"/>
        <w:rPr>
          <w:rFonts w:cs="Times New Roman"/>
          <w:szCs w:val="40"/>
        </w:rPr>
      </w:pPr>
      <w:r>
        <w:rPr>
          <w:rFonts w:hint="eastAsia" w:cs="Times New Roman"/>
          <w:szCs w:val="40"/>
        </w:rPr>
        <w:t>加强水源地水质保护。地表水一级保护区执行《地表水环境质量标准》（GB3838-2002）II类标准，二级保护区执行《地表水环境质量标准》（GB3838-2002）III类标准，保证流入一级保护区的水质满足一级保护区水质标准要求</w:t>
      </w:r>
      <w:r>
        <w:rPr>
          <w:rFonts w:cs="Times New Roman"/>
          <w:szCs w:val="40"/>
        </w:rPr>
        <w:t>。</w:t>
      </w:r>
    </w:p>
    <w:p w14:paraId="1A993499">
      <w:pPr>
        <w:pStyle w:val="47"/>
        <w:spacing w:before="0" w:beforeLines="0" w:line="596" w:lineRule="exact"/>
        <w:ind w:firstLine="640"/>
        <w:rPr>
          <w:b w:val="0"/>
        </w:rPr>
      </w:pPr>
      <w:r>
        <w:rPr>
          <w:b w:val="0"/>
        </w:rPr>
        <w:t>用水效率</w:t>
      </w:r>
    </w:p>
    <w:p w14:paraId="4035A891">
      <w:pPr>
        <w:spacing w:line="596" w:lineRule="exact"/>
        <w:ind w:firstLine="640"/>
        <w:rPr>
          <w:rFonts w:cs="Times New Roman"/>
          <w:szCs w:val="40"/>
        </w:rPr>
      </w:pPr>
      <w:r>
        <w:rPr>
          <w:rFonts w:cs="Times New Roman"/>
          <w:szCs w:val="40"/>
        </w:rPr>
        <w:t>推进工业节水减排。调整经济结构及产业布局</w:t>
      </w:r>
      <w:r>
        <w:rPr>
          <w:rFonts w:hint="eastAsia" w:cs="Times New Roman"/>
          <w:szCs w:val="40"/>
          <w:lang w:eastAsia="zh-CN"/>
        </w:rPr>
        <w:t>；</w:t>
      </w:r>
      <w:r>
        <w:rPr>
          <w:rFonts w:cs="Times New Roman"/>
          <w:szCs w:val="40"/>
        </w:rPr>
        <w:t>推进工业节水技术改造，</w:t>
      </w:r>
      <w:r>
        <w:rPr>
          <w:rFonts w:hint="eastAsia" w:cs="Times New Roman"/>
          <w:szCs w:val="40"/>
          <w:lang w:val="en-US" w:eastAsia="zh-CN"/>
        </w:rPr>
        <w:t>降低</w:t>
      </w:r>
      <w:r>
        <w:rPr>
          <w:rFonts w:cs="Times New Roman"/>
          <w:szCs w:val="40"/>
        </w:rPr>
        <w:t>万元工业增加值用水量</w:t>
      </w:r>
      <w:r>
        <w:rPr>
          <w:rFonts w:hint="eastAsia" w:cs="Times New Roman"/>
          <w:szCs w:val="40"/>
          <w:lang w:eastAsia="zh-CN"/>
        </w:rPr>
        <w:t>，</w:t>
      </w:r>
      <w:r>
        <w:rPr>
          <w:rFonts w:hint="eastAsia" w:cs="Times New Roman"/>
          <w:szCs w:val="40"/>
          <w:lang w:val="en-US" w:eastAsia="zh-CN"/>
        </w:rPr>
        <w:t>提高</w:t>
      </w:r>
      <w:r>
        <w:rPr>
          <w:rFonts w:cs="Times New Roman"/>
          <w:szCs w:val="40"/>
        </w:rPr>
        <w:t>工业用水重复利用率。</w:t>
      </w:r>
    </w:p>
    <w:p w14:paraId="62B918E4">
      <w:pPr>
        <w:spacing w:line="596" w:lineRule="exact"/>
        <w:ind w:firstLine="640"/>
        <w:rPr>
          <w:rFonts w:cs="Times New Roman"/>
          <w:szCs w:val="40"/>
        </w:rPr>
      </w:pPr>
      <w:r>
        <w:rPr>
          <w:rFonts w:cs="Times New Roman"/>
          <w:szCs w:val="40"/>
        </w:rPr>
        <w:t>合理控制农业用水。全面推进农业节水，调整农业种植结构，推行水肥一体化、高效节水灌溉和蓄水保水技术，减少无效蒸发与渗漏损失，提升农业灌溉水利用系数。</w:t>
      </w:r>
    </w:p>
    <w:p w14:paraId="33FEFADF">
      <w:pPr>
        <w:spacing w:line="596" w:lineRule="exact"/>
        <w:ind w:firstLine="640"/>
        <w:rPr>
          <w:rFonts w:cs="Times New Roman"/>
          <w:szCs w:val="40"/>
        </w:rPr>
      </w:pPr>
      <w:r>
        <w:rPr>
          <w:rFonts w:cs="Times New Roman"/>
          <w:szCs w:val="40"/>
        </w:rPr>
        <w:t>提升城市综合节水能力</w:t>
      </w:r>
      <w:r>
        <w:rPr>
          <w:rFonts w:hint="eastAsia" w:cs="Times New Roman"/>
          <w:szCs w:val="40"/>
        </w:rPr>
        <w:t>，</w:t>
      </w:r>
      <w:r>
        <w:rPr>
          <w:rFonts w:cs="Times New Roman"/>
          <w:szCs w:val="40"/>
        </w:rPr>
        <w:t>加强再生水、雨洪水等非常规水资源化利用，大力推广再生水循环利用技术，生态环境、园林绿化、建筑市政用水应优先使用非常规水资源，</w:t>
      </w:r>
      <w:r>
        <w:rPr>
          <w:rFonts w:hint="eastAsia" w:cs="Times New Roman"/>
          <w:szCs w:val="40"/>
          <w:lang w:val="en-US" w:eastAsia="zh-CN"/>
        </w:rPr>
        <w:t>提高</w:t>
      </w:r>
      <w:r>
        <w:rPr>
          <w:rFonts w:cs="Times New Roman"/>
          <w:szCs w:val="40"/>
        </w:rPr>
        <w:t>再生水利用率。</w:t>
      </w:r>
    </w:p>
    <w:p w14:paraId="09C35771">
      <w:pPr>
        <w:pStyle w:val="47"/>
        <w:spacing w:before="0" w:beforeLines="0" w:line="596" w:lineRule="exact"/>
        <w:ind w:firstLine="640"/>
        <w:rPr>
          <w:b w:val="0"/>
        </w:rPr>
      </w:pPr>
      <w:bookmarkStart w:id="130" w:name="_Toc132135030"/>
      <w:bookmarkStart w:id="131" w:name="_Toc134535452"/>
      <w:bookmarkStart w:id="132" w:name="_Toc132540656"/>
      <w:r>
        <w:rPr>
          <w:b w:val="0"/>
        </w:rPr>
        <w:t>水资源保障</w:t>
      </w:r>
      <w:bookmarkEnd w:id="130"/>
      <w:bookmarkEnd w:id="131"/>
      <w:bookmarkEnd w:id="132"/>
    </w:p>
    <w:p w14:paraId="7C133018">
      <w:pPr>
        <w:pStyle w:val="66"/>
        <w:rPr>
          <w:sz w:val="28"/>
          <w:szCs w:val="28"/>
        </w:rPr>
      </w:pPr>
      <w:r>
        <w:t>加强利用外调水，与省水网规划有效</w:t>
      </w:r>
      <w:r>
        <w:rPr>
          <w:rFonts w:hint="eastAsia"/>
        </w:rPr>
        <w:t>衔</w:t>
      </w:r>
      <w:r>
        <w:t>接，加快重点工程建设，保障水资源供给。</w:t>
      </w:r>
    </w:p>
    <w:p w14:paraId="48F5FF88">
      <w:pPr>
        <w:pStyle w:val="66"/>
      </w:pPr>
      <w:r>
        <w:t>合理利用地表水、减少使用地下水。规划加强防洪调蓄工程建设，有效增加雨洪水蓄水量和利用量，有效增加地表水供应量，保障本地地表水资源供水量；加强地下水超采综合治理。</w:t>
      </w:r>
    </w:p>
    <w:p w14:paraId="3475CC1D">
      <w:pPr>
        <w:pStyle w:val="66"/>
        <w:rPr>
          <w:sz w:val="28"/>
          <w:szCs w:val="28"/>
        </w:rPr>
      </w:pPr>
      <w:r>
        <w:t>加大对再生水等非常规水源的利用，规划扩建城市污水处理厂和城市工业污水处理厂中水回用工程。</w:t>
      </w:r>
    </w:p>
    <w:p w14:paraId="127D521C">
      <w:pPr>
        <w:pStyle w:val="66"/>
      </w:pPr>
      <w:r>
        <w:t>通过多渠道开源和合理调配，形成多水源供水格局</w:t>
      </w:r>
      <w:r>
        <w:rPr>
          <w:rFonts w:hint="eastAsia"/>
          <w:lang w:eastAsia="zh-CN"/>
        </w:rPr>
        <w:t>，</w:t>
      </w:r>
      <w:r>
        <w:t>保障供水资源量。</w:t>
      </w:r>
      <w:bookmarkStart w:id="133" w:name="_Toc4333"/>
    </w:p>
    <w:p w14:paraId="30490F7D">
      <w:pPr>
        <w:pStyle w:val="3"/>
        <w:numPr>
          <w:ilvl w:val="0"/>
          <w:numId w:val="6"/>
        </w:numPr>
      </w:pPr>
      <w:bookmarkStart w:id="134" w:name="_Toc19837"/>
      <w:r>
        <w:t>活化利用历史文化资源</w:t>
      </w:r>
      <w:bookmarkEnd w:id="134"/>
    </w:p>
    <w:p w14:paraId="726FE0C4">
      <w:pPr>
        <w:pStyle w:val="47"/>
        <w:spacing w:before="0" w:beforeLines="0" w:line="596" w:lineRule="exact"/>
        <w:ind w:firstLine="640"/>
        <w:rPr>
          <w:b w:val="0"/>
        </w:rPr>
      </w:pPr>
      <w:r>
        <w:rPr>
          <w:b w:val="0"/>
        </w:rPr>
        <w:t>加强历史文化资源保护</w:t>
      </w:r>
    </w:p>
    <w:p w14:paraId="3D9D894A">
      <w:pPr>
        <w:pStyle w:val="66"/>
      </w:pPr>
      <w:r>
        <w:rPr>
          <w:rFonts w:hint="eastAsia"/>
        </w:rPr>
        <w:t>根据各类历史文化资源的空间分布，规划划定三个历史文化遗存富集区：在东坝头镇和谷营镇和三义寨北部划定以治黄文化为代表的黄河历史文化遗存富集区；在中心城区和仪封镇划定以焦裕禄精神为代表的红色历史文化遗存富集区；在县域东北部划定传统历史文化遗存富集区。</w:t>
      </w:r>
    </w:p>
    <w:p w14:paraId="37240445">
      <w:pPr>
        <w:pStyle w:val="66"/>
      </w:pPr>
      <w:r>
        <w:t>对于暂不具备历史文化保护线划定基础的文物保护单位、</w:t>
      </w:r>
      <w:r>
        <w:rPr>
          <w:lang w:bidi="ar"/>
        </w:rPr>
        <w:t>未核定公布为文物保护单位的不可移动文物、</w:t>
      </w:r>
      <w:r>
        <w:t>历史建筑等，加强部门协同，及时落实动态补划历史文化保护线，</w:t>
      </w:r>
      <w:r>
        <w:rPr>
          <w:rFonts w:hint="eastAsia"/>
        </w:rPr>
        <w:t>将</w:t>
      </w:r>
      <w:r>
        <w:t>划定成果</w:t>
      </w:r>
      <w:r>
        <w:rPr>
          <w:lang w:bidi="ar"/>
        </w:rPr>
        <w:t>纳入国土空间规划“一张图”</w:t>
      </w:r>
      <w:r>
        <w:t>。</w:t>
      </w:r>
      <w:r>
        <w:rPr>
          <w:rFonts w:hint="eastAsia"/>
        </w:rPr>
        <w:t>通过历史文化保护线的划定，实现各类历史文化资源与周边山水环境整体保护，与遗产真实性、完整性相关联的空间环境协调，与建设活动的空间协调。</w:t>
      </w:r>
    </w:p>
    <w:p w14:paraId="1C7A92B9">
      <w:pPr>
        <w:pStyle w:val="66"/>
      </w:pPr>
      <w:r>
        <w:rPr>
          <w:rFonts w:hint="eastAsia"/>
        </w:rPr>
        <w:t>通过加强区域防洪、地质灾害防治、风沙治理、区域环境质量提升等措施，消除历史文化遗存本体及其环境的潜在风险，确保其安全。</w:t>
      </w:r>
    </w:p>
    <w:p w14:paraId="1DA927E4">
      <w:pPr>
        <w:pStyle w:val="66"/>
      </w:pPr>
      <w:r>
        <w:t>为非物质文化遗产提供物质空间载体，结合公共空间设置非物质文化遗产的传承展示地，为传统戏曲、传统手工艺等非遗活动提供生产与表演展示的场所空间。</w:t>
      </w:r>
    </w:p>
    <w:p w14:paraId="1569AE47">
      <w:pPr>
        <w:pStyle w:val="66"/>
      </w:pPr>
      <w:r>
        <w:rPr>
          <w:rFonts w:hint="eastAsia"/>
        </w:rPr>
        <w:t>通过加强与蓝绿空间融合、引导道路交通配置、协调市政公用设施、优化城市公共空间等途径，为历史文化资源提供基础设施保障。</w:t>
      </w:r>
    </w:p>
    <w:p w14:paraId="506F8DE4">
      <w:pPr>
        <w:pStyle w:val="66"/>
      </w:pPr>
      <w:r>
        <w:rPr>
          <w:rFonts w:hint="eastAsia"/>
        </w:rPr>
        <w:t>地下文物埋藏区落实“先考古、后出让”的政策，</w:t>
      </w:r>
      <w:r>
        <w:t>地下防灾工程</w:t>
      </w:r>
      <w:r>
        <w:rPr>
          <w:rFonts w:hint="eastAsia"/>
        </w:rPr>
        <w:t>等的</w:t>
      </w:r>
      <w:r>
        <w:t>选线选址严格避让地下文物埋藏区，避免对地下文物造成过度扰动和破坏。</w:t>
      </w:r>
    </w:p>
    <w:p w14:paraId="17703497">
      <w:pPr>
        <w:pStyle w:val="47"/>
        <w:spacing w:before="0" w:beforeLines="0" w:line="596" w:lineRule="exact"/>
        <w:ind w:firstLine="640"/>
        <w:rPr>
          <w:b w:val="0"/>
        </w:rPr>
      </w:pPr>
      <w:r>
        <w:rPr>
          <w:b w:val="0"/>
        </w:rPr>
        <w:t>活化利用历史文化资源</w:t>
      </w:r>
    </w:p>
    <w:p w14:paraId="6DD909F7">
      <w:pPr>
        <w:pStyle w:val="66"/>
      </w:pPr>
      <w:r>
        <w:rPr>
          <w:lang w:bidi="ar"/>
        </w:rPr>
        <w:t>结合国家文化公园建设，活化利用黄河历史文化遗存富集区内的历史文化资源和自然遗产，</w:t>
      </w:r>
      <w:r>
        <w:t>突出开封黄河悬河、最后一道弯、治黄文化等特色，与沿黄地区共同构建黄河生态文化带。</w:t>
      </w:r>
    </w:p>
    <w:p w14:paraId="72679FA0">
      <w:pPr>
        <w:pStyle w:val="66"/>
      </w:pPr>
      <w:r>
        <w:t>结合城市文化设施建设，活化利用红色历史文化遗存富集区</w:t>
      </w:r>
      <w:r>
        <w:rPr>
          <w:lang w:bidi="ar"/>
        </w:rPr>
        <w:t>内的历史文化资源，进一步</w:t>
      </w:r>
      <w:r>
        <w:t>突出</w:t>
      </w:r>
      <w:r>
        <w:rPr>
          <w:rFonts w:hint="eastAsia"/>
        </w:rPr>
        <w:t>兰考县</w:t>
      </w:r>
      <w:r>
        <w:t>红色文化名城特色，打造全国知名的红色文化教育基地。</w:t>
      </w:r>
    </w:p>
    <w:p w14:paraId="526A4E62">
      <w:pPr>
        <w:pStyle w:val="66"/>
        <w:sectPr>
          <w:pgSz w:w="11906" w:h="16838"/>
          <w:pgMar w:top="1440" w:right="1797" w:bottom="1440" w:left="1797" w:header="851" w:footer="992" w:gutter="0"/>
          <w:cols w:space="425" w:num="1"/>
          <w:docGrid w:type="linesAndChars" w:linePitch="312" w:charSpace="0"/>
        </w:sectPr>
      </w:pPr>
    </w:p>
    <w:bookmarkEnd w:id="48"/>
    <w:bookmarkEnd w:id="49"/>
    <w:bookmarkEnd w:id="133"/>
    <w:p w14:paraId="76BF0772">
      <w:pPr>
        <w:ind w:firstLine="0" w:firstLineChars="0"/>
        <w:rPr>
          <w:rFonts w:cs="Times New Roman"/>
        </w:rPr>
      </w:pPr>
      <w:bookmarkStart w:id="135" w:name="_Toc31637"/>
      <w:bookmarkStart w:id="136" w:name="_Toc22435"/>
    </w:p>
    <w:p w14:paraId="472088F1">
      <w:pPr>
        <w:pStyle w:val="2"/>
        <w:spacing w:before="200" w:beforeLines="0" w:after="400" w:afterLines="0" w:line="596" w:lineRule="exact"/>
        <w:ind w:left="0"/>
        <w:rPr>
          <w:color w:val="auto"/>
        </w:rPr>
      </w:pPr>
      <w:bookmarkStart w:id="137" w:name="_Toc13620"/>
      <w:r>
        <w:rPr>
          <w:color w:val="auto"/>
        </w:rPr>
        <w:t>贯通发展要素促进城乡融合和乡村振兴</w:t>
      </w:r>
      <w:bookmarkEnd w:id="137"/>
    </w:p>
    <w:bookmarkEnd w:id="135"/>
    <w:bookmarkEnd w:id="136"/>
    <w:p w14:paraId="67617D46">
      <w:pPr>
        <w:pStyle w:val="3"/>
        <w:numPr>
          <w:ilvl w:val="0"/>
          <w:numId w:val="7"/>
        </w:numPr>
      </w:pPr>
      <w:bookmarkStart w:id="138" w:name="_Toc24383"/>
      <w:bookmarkStart w:id="139" w:name="_Toc10827"/>
      <w:bookmarkStart w:id="140" w:name="_Toc19310"/>
      <w:r>
        <w:t>推进以县城为重要载体的新型城镇化</w:t>
      </w:r>
      <w:bookmarkEnd w:id="138"/>
      <w:bookmarkEnd w:id="139"/>
      <w:bookmarkEnd w:id="140"/>
    </w:p>
    <w:p w14:paraId="5F60806C">
      <w:pPr>
        <w:pStyle w:val="47"/>
        <w:spacing w:before="0" w:beforeLines="0" w:line="596" w:lineRule="exact"/>
        <w:ind w:firstLine="640"/>
        <w:rPr>
          <w:b w:val="0"/>
        </w:rPr>
      </w:pPr>
      <w:bookmarkStart w:id="141" w:name="_Toc4894"/>
      <w:r>
        <w:rPr>
          <w:b w:val="0"/>
        </w:rPr>
        <w:t>新型城镇化策略</w:t>
      </w:r>
      <w:bookmarkEnd w:id="141"/>
    </w:p>
    <w:p w14:paraId="76A2E895">
      <w:pPr>
        <w:spacing w:line="596" w:lineRule="exact"/>
        <w:ind w:firstLine="640"/>
        <w:rPr>
          <w:rFonts w:cs="Times New Roman"/>
        </w:rPr>
      </w:pPr>
      <w:r>
        <w:rPr>
          <w:rFonts w:cs="Times New Roman"/>
        </w:rPr>
        <w:t>统筹城乡要素，以城乡贯通带动新型城镇化及乡村振兴，统筹用地</w:t>
      </w:r>
      <w:r>
        <w:rPr>
          <w:rFonts w:hint="eastAsia" w:cs="Times New Roman"/>
        </w:rPr>
        <w:t>，</w:t>
      </w:r>
      <w:r>
        <w:rPr>
          <w:rFonts w:cs="Times New Roman"/>
        </w:rPr>
        <w:t>为城乡人口发展、产业融合、设施共建和生态联通等方面提供空间支撑，最终实现空间资源整体配置和全域城乡融合贯通发展。</w:t>
      </w:r>
    </w:p>
    <w:p w14:paraId="0D4AFC5D">
      <w:pPr>
        <w:pStyle w:val="3"/>
        <w:numPr>
          <w:ilvl w:val="0"/>
          <w:numId w:val="7"/>
        </w:numPr>
      </w:pPr>
      <w:bookmarkStart w:id="142" w:name="_Toc10794"/>
      <w:bookmarkStart w:id="143" w:name="_Toc30417"/>
      <w:bookmarkStart w:id="144" w:name="_Toc2400"/>
      <w:r>
        <w:t>优化城乡产业空间布局</w:t>
      </w:r>
      <w:bookmarkEnd w:id="142"/>
      <w:bookmarkEnd w:id="143"/>
      <w:bookmarkEnd w:id="144"/>
    </w:p>
    <w:p w14:paraId="51D320B0">
      <w:pPr>
        <w:pStyle w:val="47"/>
        <w:spacing w:before="0" w:beforeLines="0" w:line="596" w:lineRule="exact"/>
        <w:ind w:firstLine="640"/>
        <w:rPr>
          <w:b w:val="0"/>
        </w:rPr>
      </w:pPr>
      <w:bookmarkStart w:id="145" w:name="_Toc1827"/>
      <w:bookmarkStart w:id="146" w:name="_Toc24305"/>
      <w:bookmarkStart w:id="147" w:name="_Toc29507"/>
      <w:r>
        <w:rPr>
          <w:b w:val="0"/>
        </w:rPr>
        <w:t>构建产业体系</w:t>
      </w:r>
      <w:bookmarkEnd w:id="145"/>
    </w:p>
    <w:p w14:paraId="5532DDB0">
      <w:pPr>
        <w:spacing w:line="596" w:lineRule="exact"/>
        <w:ind w:firstLine="640"/>
        <w:rPr>
          <w:rFonts w:cs="Times New Roman"/>
        </w:rPr>
      </w:pPr>
      <w:r>
        <w:rPr>
          <w:rFonts w:cs="Times New Roman"/>
        </w:rPr>
        <w:t>构建“1+3+5”产业体系。</w:t>
      </w:r>
    </w:p>
    <w:p w14:paraId="2E9A29F3">
      <w:pPr>
        <w:spacing w:line="596" w:lineRule="exact"/>
        <w:ind w:firstLine="640"/>
        <w:rPr>
          <w:rFonts w:cs="Times New Roman"/>
        </w:rPr>
      </w:pPr>
      <w:r>
        <w:rPr>
          <w:rFonts w:cs="Times New Roman"/>
        </w:rPr>
        <w:t>“1”即一个现代农业基础产业，注重夯实特色产业基础，打造农业特色产业基地。</w:t>
      </w:r>
    </w:p>
    <w:p w14:paraId="74591EBC">
      <w:pPr>
        <w:spacing w:line="596" w:lineRule="exact"/>
        <w:ind w:firstLine="640"/>
        <w:rPr>
          <w:rFonts w:cs="Times New Roman"/>
        </w:rPr>
      </w:pPr>
      <w:r>
        <w:rPr>
          <w:rFonts w:cs="Times New Roman"/>
        </w:rPr>
        <w:t>“3”即现代家居</w:t>
      </w:r>
      <w:r>
        <w:rPr>
          <w:rFonts w:cs="Times New Roman"/>
          <w:spacing w:val="-20"/>
        </w:rPr>
        <w:t>、新</w:t>
      </w:r>
      <w:r>
        <w:rPr>
          <w:rFonts w:cs="Times New Roman"/>
        </w:rPr>
        <w:t>能源和节能环保</w:t>
      </w:r>
      <w:r>
        <w:rPr>
          <w:rFonts w:cs="Times New Roman"/>
          <w:spacing w:val="-20"/>
        </w:rPr>
        <w:t>、绿</w:t>
      </w:r>
      <w:r>
        <w:rPr>
          <w:rFonts w:cs="Times New Roman"/>
        </w:rPr>
        <w:t>色食品三大主导产业。</w:t>
      </w:r>
    </w:p>
    <w:p w14:paraId="269DC6D3">
      <w:pPr>
        <w:spacing w:line="596" w:lineRule="exact"/>
        <w:ind w:firstLine="640"/>
        <w:rPr>
          <w:rFonts w:cs="Times New Roman"/>
        </w:rPr>
      </w:pPr>
      <w:r>
        <w:rPr>
          <w:rFonts w:cs="Times New Roman"/>
        </w:rPr>
        <w:t>“5”即民族乐器、生物医药、智能制造、文旅研学和现代物流五大特色产业。</w:t>
      </w:r>
    </w:p>
    <w:p w14:paraId="3E22265F">
      <w:pPr>
        <w:pStyle w:val="47"/>
        <w:spacing w:before="0" w:beforeLines="0" w:line="596" w:lineRule="exact"/>
        <w:ind w:firstLine="640"/>
        <w:rPr>
          <w:b w:val="0"/>
        </w:rPr>
      </w:pPr>
      <w:bookmarkStart w:id="148" w:name="_Toc6776"/>
      <w:r>
        <w:rPr>
          <w:b w:val="0"/>
        </w:rPr>
        <w:t>统筹产业</w:t>
      </w:r>
      <w:bookmarkEnd w:id="148"/>
      <w:r>
        <w:rPr>
          <w:b w:val="0"/>
        </w:rPr>
        <w:t>空间</w:t>
      </w:r>
    </w:p>
    <w:p w14:paraId="5AC1BCD7">
      <w:pPr>
        <w:spacing w:line="596" w:lineRule="exact"/>
        <w:ind w:firstLine="640"/>
        <w:rPr>
          <w:rFonts w:cs="Times New Roman"/>
        </w:rPr>
      </w:pPr>
      <w:r>
        <w:rPr>
          <w:rFonts w:cs="Times New Roman"/>
        </w:rPr>
        <w:t>统筹城镇村产业平台融合发展，形成“农业为基，二、三产多园协作”的产业空间布局，以国家农业高新技术产业示范区为引领，打造湖羊蜜瓜、红薯等多个特色农业产业基地；以经济技术开发区为引领，建设板材、绿色食品、现代物流等多个产业园区。打好“城引领、镇支撑、村筑基”的产业空间供给组合拳。</w:t>
      </w:r>
    </w:p>
    <w:bookmarkEnd w:id="146"/>
    <w:bookmarkEnd w:id="147"/>
    <w:p w14:paraId="17A0126E">
      <w:pPr>
        <w:pStyle w:val="47"/>
        <w:spacing w:before="0" w:beforeLines="0" w:line="596" w:lineRule="exact"/>
        <w:ind w:firstLine="640"/>
        <w:rPr>
          <w:b w:val="0"/>
        </w:rPr>
      </w:pPr>
      <w:bookmarkStart w:id="149" w:name="_Toc1185"/>
      <w:bookmarkStart w:id="150" w:name="_Toc11946"/>
      <w:bookmarkStart w:id="151" w:name="_Toc13532"/>
      <w:bookmarkStart w:id="152" w:name="_Toc22565"/>
      <w:r>
        <w:rPr>
          <w:b w:val="0"/>
        </w:rPr>
        <w:t>加强开发区</w:t>
      </w:r>
      <w:bookmarkEnd w:id="149"/>
      <w:bookmarkEnd w:id="150"/>
      <w:bookmarkEnd w:id="151"/>
      <w:r>
        <w:rPr>
          <w:b w:val="0"/>
        </w:rPr>
        <w:t>和乡镇产业园建设</w:t>
      </w:r>
    </w:p>
    <w:p w14:paraId="19C05D30">
      <w:pPr>
        <w:spacing w:line="596" w:lineRule="exact"/>
        <w:ind w:firstLine="640"/>
        <w:rPr>
          <w:rFonts w:cs="Times New Roman"/>
        </w:rPr>
      </w:pPr>
      <w:r>
        <w:rPr>
          <w:rFonts w:hint="eastAsia" w:cs="Times New Roman"/>
        </w:rPr>
        <w:t>兰考县</w:t>
      </w:r>
      <w:r>
        <w:rPr>
          <w:rFonts w:cs="Times New Roman"/>
        </w:rPr>
        <w:t>经济技术开发区产业主要为家居建材、节能环保和新一代信息技术，按照“横向成群、纵向成链”的发展思路，着力完善产业配套，推动主导产业优势再造</w:t>
      </w:r>
      <w:r>
        <w:rPr>
          <w:rFonts w:hint="eastAsia" w:cs="Times New Roman"/>
        </w:rPr>
        <w:t>，</w:t>
      </w:r>
      <w:r>
        <w:rPr>
          <w:rFonts w:cs="Times New Roman"/>
        </w:rPr>
        <w:t>迭代升级，打造具有</w:t>
      </w:r>
      <w:r>
        <w:rPr>
          <w:rFonts w:hint="eastAsia" w:cs="Times New Roman"/>
        </w:rPr>
        <w:t>兰考县</w:t>
      </w:r>
      <w:r>
        <w:rPr>
          <w:rFonts w:cs="Times New Roman"/>
        </w:rPr>
        <w:t>特色的现代化产业体系。</w:t>
      </w:r>
    </w:p>
    <w:p w14:paraId="21555F06">
      <w:pPr>
        <w:spacing w:line="596" w:lineRule="exact"/>
        <w:ind w:firstLine="640"/>
        <w:rPr>
          <w:rFonts w:cs="Times New Roman"/>
        </w:rPr>
      </w:pPr>
      <w:r>
        <w:rPr>
          <w:rFonts w:cs="Times New Roman"/>
        </w:rPr>
        <w:t>乡镇依托自身产业发展基础，建设乡镇特色产业园区。</w:t>
      </w:r>
      <w:r>
        <w:rPr>
          <w:rFonts w:hint="eastAsia" w:ascii="宋体" w:hAnsi="宋体" w:eastAsia="宋体" w:cs="仿宋"/>
        </w:rPr>
        <w:t>堌</w:t>
      </w:r>
      <w:r>
        <w:rPr>
          <w:rFonts w:hint="eastAsia" w:ascii="仿宋_GB2312" w:hAnsi="仿宋" w:cs="仿宋"/>
        </w:rPr>
        <w:t>阳镇</w:t>
      </w:r>
      <w:r>
        <w:rPr>
          <w:rFonts w:cs="Times New Roman"/>
        </w:rPr>
        <w:t>以泡桐种植和民族乐器加工产业为基础，建设乐器制作产业园；孟寨</w:t>
      </w:r>
      <w:r>
        <w:rPr>
          <w:rFonts w:hint="eastAsia" w:cs="Times New Roman"/>
        </w:rPr>
        <w:t>乡</w:t>
      </w:r>
      <w:r>
        <w:rPr>
          <w:rFonts w:cs="Times New Roman"/>
        </w:rPr>
        <w:t>、闫楼</w:t>
      </w:r>
      <w:r>
        <w:rPr>
          <w:rFonts w:hint="eastAsia" w:cs="Times New Roman"/>
        </w:rPr>
        <w:t>乡</w:t>
      </w:r>
      <w:r>
        <w:rPr>
          <w:rFonts w:cs="Times New Roman"/>
        </w:rPr>
        <w:t>等乡镇整合村庄板材加工业，建设乡镇板材加工产业园；</w:t>
      </w:r>
      <w:r>
        <w:rPr>
          <w:rFonts w:hint="eastAsia" w:cs="Times New Roman"/>
        </w:rPr>
        <w:t>南彰镇</w:t>
      </w:r>
      <w:r>
        <w:rPr>
          <w:rFonts w:cs="Times New Roman"/>
        </w:rPr>
        <w:t>、</w:t>
      </w:r>
      <w:r>
        <w:rPr>
          <w:rFonts w:hint="eastAsia" w:cs="Times New Roman"/>
        </w:rPr>
        <w:t>红庙镇</w:t>
      </w:r>
      <w:r>
        <w:rPr>
          <w:rFonts w:cs="Times New Roman"/>
        </w:rPr>
        <w:t>等乡镇整合村庄门业加工，建设乡镇木门加工产业园；仪封</w:t>
      </w:r>
      <w:r>
        <w:rPr>
          <w:rFonts w:hint="eastAsia" w:cs="Times New Roman"/>
        </w:rPr>
        <w:t>镇</w:t>
      </w:r>
      <w:r>
        <w:rPr>
          <w:rFonts w:cs="Times New Roman"/>
        </w:rPr>
        <w:t>、考城</w:t>
      </w:r>
      <w:r>
        <w:rPr>
          <w:rFonts w:hint="eastAsia" w:cs="Times New Roman"/>
        </w:rPr>
        <w:t>镇</w:t>
      </w:r>
      <w:r>
        <w:rPr>
          <w:rFonts w:cs="Times New Roman"/>
        </w:rPr>
        <w:t>、谷营</w:t>
      </w:r>
      <w:r>
        <w:rPr>
          <w:rFonts w:hint="eastAsia" w:cs="Times New Roman"/>
        </w:rPr>
        <w:t>镇</w:t>
      </w:r>
      <w:r>
        <w:rPr>
          <w:rFonts w:cs="Times New Roman"/>
        </w:rPr>
        <w:t>等乡镇发挥特色农业种植基础，建设农业产业示范园。</w:t>
      </w:r>
    </w:p>
    <w:bookmarkEnd w:id="152"/>
    <w:p w14:paraId="2607E1BE">
      <w:pPr>
        <w:pStyle w:val="47"/>
        <w:spacing w:before="0" w:beforeLines="0" w:line="596" w:lineRule="exact"/>
        <w:ind w:firstLine="640"/>
        <w:rPr>
          <w:b w:val="0"/>
        </w:rPr>
      </w:pPr>
      <w:bookmarkStart w:id="153" w:name="_Toc6066"/>
      <w:r>
        <w:rPr>
          <w:b w:val="0"/>
        </w:rPr>
        <w:t>保障乡村产业用地</w:t>
      </w:r>
      <w:bookmarkEnd w:id="153"/>
    </w:p>
    <w:p w14:paraId="69D97D34">
      <w:pPr>
        <w:pStyle w:val="7"/>
        <w:spacing w:line="596" w:lineRule="exact"/>
        <w:ind w:firstLine="640"/>
        <w:rPr>
          <w:rFonts w:cs="Times New Roman"/>
          <w:sz w:val="32"/>
        </w:rPr>
      </w:pPr>
      <w:r>
        <w:rPr>
          <w:rFonts w:cs="Times New Roman"/>
          <w:sz w:val="32"/>
        </w:rPr>
        <w:t>拓宽新产业新业态用地获取途径，保障农村新产业新业态项目建设用地需求；推进农村土地综合整治，推进城乡建设用地增减挂钩，通过</w:t>
      </w:r>
      <w:r>
        <w:rPr>
          <w:rFonts w:hint="eastAsia" w:cs="Times New Roman"/>
          <w:sz w:val="32"/>
        </w:rPr>
        <w:t>节</w:t>
      </w:r>
      <w:r>
        <w:rPr>
          <w:rFonts w:cs="Times New Roman"/>
          <w:sz w:val="32"/>
        </w:rPr>
        <w:t>余指标有偿调剂，将收益用于项目区农村产业；完善村庄规划的编制工作，合理安排农村公共设施、文旅设施及新产业新业态用地空间；原则上保障集聚提升村、特色保护村用于乡村产业振兴建设用地达到10</w:t>
      </w:r>
      <w:r>
        <w:rPr>
          <w:rFonts w:hint="eastAsia" w:ascii="仿宋_GB2312" w:cs="Times New Roman"/>
          <w:sz w:val="32"/>
        </w:rPr>
        <w:t>-</w:t>
      </w:r>
      <w:r>
        <w:rPr>
          <w:rFonts w:cs="Times New Roman"/>
          <w:sz w:val="32"/>
        </w:rPr>
        <w:t>20亩。</w:t>
      </w:r>
    </w:p>
    <w:p w14:paraId="3BF2DB3B">
      <w:pPr>
        <w:pStyle w:val="3"/>
        <w:numPr>
          <w:ilvl w:val="0"/>
          <w:numId w:val="7"/>
        </w:numPr>
      </w:pPr>
      <w:bookmarkStart w:id="154" w:name="_Toc13014"/>
      <w:bookmarkStart w:id="155" w:name="_Toc16665"/>
      <w:bookmarkStart w:id="156" w:name="_Toc26597"/>
      <w:r>
        <w:t>促进城乡用地结构优化和</w:t>
      </w:r>
      <w:bookmarkEnd w:id="154"/>
      <w:bookmarkEnd w:id="155"/>
      <w:r>
        <w:t>效率提升</w:t>
      </w:r>
      <w:bookmarkEnd w:id="156"/>
    </w:p>
    <w:p w14:paraId="3F93E56C">
      <w:pPr>
        <w:pStyle w:val="47"/>
        <w:spacing w:before="0" w:beforeLines="0" w:line="596" w:lineRule="exact"/>
        <w:ind w:firstLine="640"/>
        <w:rPr>
          <w:b w:val="0"/>
        </w:rPr>
      </w:pPr>
      <w:bookmarkStart w:id="157" w:name="_Toc1829"/>
      <w:bookmarkStart w:id="158" w:name="_Toc11271"/>
      <w:r>
        <w:rPr>
          <w:b w:val="0"/>
        </w:rPr>
        <w:t>国土空间功能结构调整</w:t>
      </w:r>
      <w:bookmarkEnd w:id="157"/>
    </w:p>
    <w:p w14:paraId="3650A9D4">
      <w:pPr>
        <w:spacing w:line="596" w:lineRule="exact"/>
        <w:ind w:firstLine="640"/>
        <w:rPr>
          <w:rFonts w:cs="Times New Roman"/>
        </w:rPr>
      </w:pPr>
      <w:r>
        <w:rPr>
          <w:rFonts w:cs="Times New Roman"/>
          <w:szCs w:val="40"/>
        </w:rPr>
        <w:t>通过加大国土综合整治，严格控制新增建设用地占用耕地，切实保护耕地面积，确保耕地总量不低于耕保目</w:t>
      </w:r>
      <w:r>
        <w:rPr>
          <w:rFonts w:cs="Times New Roman"/>
        </w:rPr>
        <w:t>标；通过切实保护森林资源，优化园地布局，引导农业设施建设用地规模化、现代化发展，实现农用地结构基本稳定。</w:t>
      </w:r>
    </w:p>
    <w:p w14:paraId="18B11DAC">
      <w:pPr>
        <w:spacing w:line="596" w:lineRule="exact"/>
        <w:ind w:firstLine="640"/>
        <w:rPr>
          <w:rFonts w:cs="Times New Roman"/>
        </w:rPr>
      </w:pPr>
      <w:r>
        <w:rPr>
          <w:rFonts w:cs="Times New Roman"/>
        </w:rPr>
        <w:t>通过村庄建设用地逐步减量、城镇建设用地高效利用，实现城乡建设用地基本稳定；</w:t>
      </w:r>
      <w:r>
        <w:rPr>
          <w:rFonts w:hint="eastAsia" w:cs="Times New Roman"/>
        </w:rPr>
        <w:t>保障交通、能源、水利等重大项目需求，合理增加区域基础设施用地；满足殡葬等有特殊选址要求的建设用地需求，其他建设用地略有增加</w:t>
      </w:r>
      <w:r>
        <w:rPr>
          <w:rFonts w:cs="Times New Roman"/>
        </w:rPr>
        <w:t>。</w:t>
      </w:r>
    </w:p>
    <w:p w14:paraId="79A1D539">
      <w:pPr>
        <w:spacing w:line="596" w:lineRule="exact"/>
        <w:ind w:firstLine="640"/>
        <w:rPr>
          <w:rFonts w:cs="Times New Roman"/>
          <w:szCs w:val="40"/>
        </w:rPr>
      </w:pPr>
      <w:r>
        <w:rPr>
          <w:rFonts w:cs="Times New Roman"/>
        </w:rPr>
        <w:t>通过河道治理等措施，加强水域保护，陆地水域总量略高于现状。</w:t>
      </w:r>
      <w:r>
        <w:rPr>
          <w:rFonts w:cs="Times New Roman"/>
          <w:szCs w:val="40"/>
        </w:rPr>
        <w:t>功能结构调整详见附表2。</w:t>
      </w:r>
    </w:p>
    <w:p w14:paraId="7A9DF211">
      <w:pPr>
        <w:pStyle w:val="47"/>
        <w:spacing w:before="0" w:beforeLines="0" w:line="596" w:lineRule="exact"/>
        <w:ind w:firstLine="640"/>
        <w:rPr>
          <w:b w:val="0"/>
        </w:rPr>
      </w:pPr>
      <w:bookmarkStart w:id="159" w:name="_Toc19050"/>
      <w:bookmarkStart w:id="160" w:name="_Toc10104"/>
      <w:bookmarkStart w:id="161" w:name="_Toc10151"/>
      <w:r>
        <w:rPr>
          <w:b w:val="0"/>
        </w:rPr>
        <w:t>城乡建设用地节约集约利用</w:t>
      </w:r>
      <w:bookmarkEnd w:id="159"/>
      <w:bookmarkEnd w:id="160"/>
      <w:bookmarkEnd w:id="161"/>
    </w:p>
    <w:p w14:paraId="0093A45F">
      <w:pPr>
        <w:spacing w:line="596" w:lineRule="exact"/>
        <w:ind w:firstLine="640"/>
        <w:rPr>
          <w:rFonts w:cs="Times New Roman"/>
          <w:szCs w:val="32"/>
        </w:rPr>
      </w:pPr>
      <w:r>
        <w:rPr>
          <w:rFonts w:cs="Times New Roman"/>
          <w:szCs w:val="32"/>
        </w:rPr>
        <w:t>按照“优配增量、挖潜存量、提升质量”的原则，严格控制建设用地总量和城镇建设用地规模。全面实行建设用地总量和强度双控制，提高建设用地节约集约利用水平。</w:t>
      </w:r>
    </w:p>
    <w:bookmarkEnd w:id="158"/>
    <w:p w14:paraId="522D1D44">
      <w:pPr>
        <w:pStyle w:val="47"/>
        <w:spacing w:before="0" w:beforeLines="0" w:line="596" w:lineRule="exact"/>
        <w:ind w:firstLine="640"/>
        <w:rPr>
          <w:b w:val="0"/>
        </w:rPr>
      </w:pPr>
      <w:bookmarkStart w:id="162" w:name="_Toc4492"/>
      <w:r>
        <w:rPr>
          <w:b w:val="0"/>
        </w:rPr>
        <w:t>城镇建设用地高效利用</w:t>
      </w:r>
      <w:bookmarkEnd w:id="162"/>
    </w:p>
    <w:p w14:paraId="7A62CA61">
      <w:pPr>
        <w:spacing w:line="596" w:lineRule="exact"/>
        <w:ind w:firstLine="640"/>
        <w:rPr>
          <w:rFonts w:cs="Times New Roman"/>
        </w:rPr>
      </w:pPr>
      <w:r>
        <w:rPr>
          <w:rFonts w:cs="Times New Roman"/>
        </w:rPr>
        <w:t>城镇建设用地通过闲置低效用地的整理和优先利用已批未建用地等方式盘活存量，实现城镇建设用地的高效利用。</w:t>
      </w:r>
    </w:p>
    <w:p w14:paraId="4B715925">
      <w:pPr>
        <w:spacing w:line="596" w:lineRule="exact"/>
        <w:ind w:firstLine="640"/>
        <w:rPr>
          <w:rFonts w:cs="Times New Roman"/>
          <w:szCs w:val="32"/>
        </w:rPr>
      </w:pPr>
      <w:r>
        <w:rPr>
          <w:rFonts w:cs="Times New Roman"/>
          <w:szCs w:val="40"/>
        </w:rPr>
        <w:t>精准配置建设用地增量空间。</w:t>
      </w:r>
      <w:r>
        <w:rPr>
          <w:rFonts w:cs="Times New Roman"/>
          <w:szCs w:val="32"/>
        </w:rPr>
        <w:t>增量用地差异供给，加强</w:t>
      </w:r>
      <w:r>
        <w:rPr>
          <w:rFonts w:hint="eastAsia" w:cs="Times New Roman"/>
          <w:szCs w:val="32"/>
        </w:rPr>
        <w:t>全域</w:t>
      </w:r>
      <w:r>
        <w:rPr>
          <w:rFonts w:cs="Times New Roman"/>
          <w:szCs w:val="32"/>
        </w:rPr>
        <w:t>统筹，精准投放新增城镇建设用地。</w:t>
      </w:r>
    </w:p>
    <w:p w14:paraId="28574598">
      <w:pPr>
        <w:pStyle w:val="29"/>
        <w:spacing w:after="0" w:line="596" w:lineRule="exact"/>
        <w:ind w:firstLine="640"/>
        <w:rPr>
          <w:rFonts w:ascii="Times New Roman" w:hAnsi="Times New Roman" w:cs="Times New Roman"/>
          <w:szCs w:val="32"/>
        </w:rPr>
      </w:pPr>
      <w:r>
        <w:rPr>
          <w:rFonts w:ascii="Times New Roman" w:hAnsi="Times New Roman" w:cs="Times New Roman"/>
          <w:szCs w:val="40"/>
        </w:rPr>
        <w:t>加快推动存量用地挖潜增效。</w:t>
      </w:r>
      <w:r>
        <w:rPr>
          <w:rFonts w:ascii="Times New Roman" w:hAnsi="Times New Roman" w:cs="Times New Roman"/>
          <w:szCs w:val="32"/>
        </w:rPr>
        <w:t>加快处置批而未</w:t>
      </w:r>
      <w:r>
        <w:rPr>
          <w:rFonts w:hint="eastAsia" w:ascii="Times New Roman" w:hAnsi="Times New Roman" w:cs="Times New Roman"/>
          <w:szCs w:val="32"/>
        </w:rPr>
        <w:t>供</w:t>
      </w:r>
      <w:r>
        <w:rPr>
          <w:rFonts w:ascii="Times New Roman" w:hAnsi="Times New Roman" w:cs="Times New Roman"/>
          <w:szCs w:val="32"/>
        </w:rPr>
        <w:t>、</w:t>
      </w:r>
      <w:r>
        <w:rPr>
          <w:rFonts w:hint="eastAsia" w:ascii="Times New Roman" w:hAnsi="Times New Roman" w:cs="Times New Roman"/>
          <w:szCs w:val="32"/>
        </w:rPr>
        <w:t>供</w:t>
      </w:r>
      <w:r>
        <w:rPr>
          <w:rFonts w:ascii="Times New Roman" w:hAnsi="Times New Roman" w:cs="Times New Roman"/>
          <w:szCs w:val="32"/>
        </w:rPr>
        <w:t>而未</w:t>
      </w:r>
      <w:r>
        <w:rPr>
          <w:rFonts w:hint="eastAsia" w:ascii="Times New Roman" w:hAnsi="Times New Roman" w:cs="Times New Roman"/>
          <w:szCs w:val="32"/>
        </w:rPr>
        <w:t>用</w:t>
      </w:r>
      <w:r>
        <w:rPr>
          <w:rFonts w:ascii="Times New Roman" w:hAnsi="Times New Roman" w:cs="Times New Roman"/>
          <w:szCs w:val="32"/>
        </w:rPr>
        <w:t>土地，严格执行依法收回闲置土地或征收土地闲置费的规定，着力盘活存量未用土地</w:t>
      </w:r>
      <w:r>
        <w:rPr>
          <w:rFonts w:hint="eastAsia" w:ascii="Times New Roman" w:hAnsi="Times New Roman" w:cs="Times New Roman"/>
          <w:szCs w:val="32"/>
          <w:lang w:eastAsia="zh-CN"/>
        </w:rPr>
        <w:t>。</w:t>
      </w:r>
      <w:r>
        <w:rPr>
          <w:rFonts w:ascii="Times New Roman" w:hAnsi="Times New Roman" w:cs="Times New Roman"/>
          <w:szCs w:val="32"/>
        </w:rPr>
        <w:t>规划至2035年，兰考县批而未供和闲置土地数量明显下降，土地资源利用效率明显提升。</w:t>
      </w:r>
    </w:p>
    <w:p w14:paraId="7A546A21">
      <w:pPr>
        <w:pStyle w:val="3"/>
        <w:numPr>
          <w:ilvl w:val="0"/>
          <w:numId w:val="7"/>
        </w:numPr>
      </w:pPr>
      <w:bookmarkStart w:id="163" w:name="_Toc9234"/>
      <w:bookmarkStart w:id="164" w:name="_Toc21146"/>
      <w:bookmarkStart w:id="165" w:name="_Toc17055"/>
      <w:bookmarkStart w:id="166" w:name="_Toc15841"/>
      <w:bookmarkStart w:id="167" w:name="_Toc30638"/>
      <w:r>
        <w:t>实施城乡公共服务均等化和设施一体化</w:t>
      </w:r>
      <w:bookmarkEnd w:id="163"/>
      <w:bookmarkEnd w:id="164"/>
      <w:bookmarkEnd w:id="165"/>
    </w:p>
    <w:p w14:paraId="775CD292">
      <w:pPr>
        <w:pStyle w:val="47"/>
        <w:spacing w:before="0" w:beforeLines="0" w:line="596" w:lineRule="exact"/>
        <w:ind w:firstLine="640"/>
        <w:rPr>
          <w:b w:val="0"/>
        </w:rPr>
      </w:pPr>
      <w:bookmarkStart w:id="168" w:name="_Toc28575"/>
      <w:r>
        <w:rPr>
          <w:b w:val="0"/>
        </w:rPr>
        <w:t>建立城乡公共服务设施</w:t>
      </w:r>
      <w:bookmarkEnd w:id="166"/>
      <w:bookmarkEnd w:id="167"/>
      <w:bookmarkEnd w:id="168"/>
      <w:r>
        <w:rPr>
          <w:b w:val="0"/>
        </w:rPr>
        <w:t>均等化体系</w:t>
      </w:r>
    </w:p>
    <w:p w14:paraId="2D6F4C78">
      <w:pPr>
        <w:spacing w:line="596" w:lineRule="exact"/>
        <w:ind w:firstLine="640"/>
        <w:rPr>
          <w:rFonts w:cs="Times New Roman"/>
          <w:szCs w:val="40"/>
        </w:rPr>
      </w:pPr>
      <w:r>
        <w:rPr>
          <w:rFonts w:cs="Times New Roman"/>
          <w:szCs w:val="40"/>
        </w:rPr>
        <w:t>按照“设施类型因需配置、设施规模分级控制、服务范围圈层覆盖”的原则，构建县域“县级—乡镇级（街道）—村级（社区）”三级城乡公共服务设施配置体系，实现基本公共服务设施覆盖到村。</w:t>
      </w:r>
    </w:p>
    <w:p w14:paraId="1BEC95F5">
      <w:pPr>
        <w:spacing w:line="596" w:lineRule="exact"/>
        <w:ind w:firstLine="640"/>
        <w:rPr>
          <w:rFonts w:cs="Times New Roman"/>
          <w:szCs w:val="40"/>
        </w:rPr>
      </w:pPr>
      <w:r>
        <w:rPr>
          <w:rFonts w:cs="Times New Roman"/>
          <w:szCs w:val="40"/>
        </w:rPr>
        <w:t>在中心城区布置服务县域的公共服务设施，配置中学、职业教育、特殊学校、县级办公、图书馆、博物馆、青少年活动中心、综合医院、体育馆、养老院、孤儿院等设施，形成县级服务中心。</w:t>
      </w:r>
    </w:p>
    <w:p w14:paraId="4651A9E2">
      <w:pPr>
        <w:spacing w:line="596" w:lineRule="exact"/>
        <w:ind w:firstLine="640"/>
        <w:rPr>
          <w:rFonts w:cs="Times New Roman"/>
          <w:szCs w:val="40"/>
        </w:rPr>
      </w:pPr>
      <w:r>
        <w:rPr>
          <w:rFonts w:cs="Times New Roman"/>
          <w:szCs w:val="40"/>
        </w:rPr>
        <w:t>在各乡镇（街道）布置服务本乡镇（街道）的公共服务设施，配置小学、乡镇政府办公、图书馆分馆、卫生院、室内运动场所、养老服务中心等设施，形成乡镇级服务中心。</w:t>
      </w:r>
    </w:p>
    <w:p w14:paraId="3D1E7695">
      <w:pPr>
        <w:spacing w:line="596" w:lineRule="exact"/>
        <w:ind w:firstLine="640"/>
        <w:rPr>
          <w:rFonts w:cs="Times New Roman"/>
          <w:szCs w:val="40"/>
        </w:rPr>
      </w:pPr>
      <w:r>
        <w:rPr>
          <w:rFonts w:cs="Times New Roman"/>
          <w:szCs w:val="40"/>
        </w:rPr>
        <w:t>在行政村（社区）布置服务本村（社区）的公共服务设施，设置幼儿园、基层办公、图书室、文化活动室、卫生室、室外运动场地、社区（幸福）日间照料中心等设施，形成村级服务中心。</w:t>
      </w:r>
    </w:p>
    <w:p w14:paraId="683A8835">
      <w:pPr>
        <w:pStyle w:val="47"/>
        <w:spacing w:before="0" w:beforeLines="0" w:line="596" w:lineRule="exact"/>
        <w:ind w:firstLine="640"/>
        <w:rPr>
          <w:b w:val="0"/>
        </w:rPr>
      </w:pPr>
      <w:bookmarkStart w:id="169" w:name="_Toc13478"/>
      <w:r>
        <w:rPr>
          <w:b w:val="0"/>
        </w:rPr>
        <w:t>推进城乡教育资源优化配置</w:t>
      </w:r>
      <w:bookmarkEnd w:id="169"/>
    </w:p>
    <w:p w14:paraId="17CDE611">
      <w:pPr>
        <w:spacing w:line="596" w:lineRule="exact"/>
        <w:ind w:firstLine="640"/>
        <w:rPr>
          <w:rFonts w:cs="Times New Roman"/>
          <w:szCs w:val="40"/>
        </w:rPr>
      </w:pPr>
      <w:r>
        <w:rPr>
          <w:rFonts w:cs="Times New Roman"/>
          <w:szCs w:val="40"/>
        </w:rPr>
        <w:t>推动小规模学校撤并改建，加快乡镇小学寄宿制建设；推进幼儿园合理布局，撤并小规模教学点，对撤并的农村小学进行学前教育改造。补齐寄宿制学校短板，新建或改造提升寄宿制学校水平，推进</w:t>
      </w:r>
      <w:r>
        <w:rPr>
          <w:rFonts w:hint="eastAsia" w:cs="Times New Roman"/>
          <w:szCs w:val="40"/>
        </w:rPr>
        <w:t>兰考县</w:t>
      </w:r>
      <w:r>
        <w:rPr>
          <w:rFonts w:cs="Times New Roman"/>
          <w:szCs w:val="40"/>
        </w:rPr>
        <w:t>教育现代化，实施“互联网+义务教育”城乡中小学教育共同体建设工作。</w:t>
      </w:r>
    </w:p>
    <w:p w14:paraId="7C8DC958">
      <w:pPr>
        <w:pStyle w:val="47"/>
        <w:spacing w:before="0" w:beforeLines="0" w:line="596" w:lineRule="exact"/>
        <w:ind w:firstLine="640"/>
        <w:rPr>
          <w:b w:val="0"/>
        </w:rPr>
      </w:pPr>
      <w:bookmarkStart w:id="170" w:name="_Toc4223"/>
      <w:r>
        <w:rPr>
          <w:b w:val="0"/>
        </w:rPr>
        <w:t>构建城乡医疗设施均等化</w:t>
      </w:r>
      <w:bookmarkEnd w:id="170"/>
    </w:p>
    <w:p w14:paraId="1B0D668E">
      <w:pPr>
        <w:spacing w:line="596" w:lineRule="exact"/>
        <w:ind w:firstLine="640"/>
        <w:rPr>
          <w:rFonts w:cs="Times New Roman"/>
          <w:szCs w:val="40"/>
        </w:rPr>
      </w:pPr>
      <w:r>
        <w:rPr>
          <w:rFonts w:cs="Times New Roman"/>
          <w:szCs w:val="40"/>
        </w:rPr>
        <w:t>优化提升县级医院服务水平，加快建设基层社区医院，完善乡镇卫生院、村卫生室基础设施，健全科室设置，提高县域整体医疗服务质量，建立社区卫生服务网络。</w:t>
      </w:r>
    </w:p>
    <w:p w14:paraId="13A9C0E5">
      <w:pPr>
        <w:spacing w:line="596" w:lineRule="exact"/>
        <w:ind w:firstLine="640"/>
        <w:rPr>
          <w:rFonts w:cs="Times New Roman"/>
          <w:szCs w:val="40"/>
        </w:rPr>
      </w:pPr>
      <w:r>
        <w:rPr>
          <w:rFonts w:cs="Times New Roman"/>
          <w:szCs w:val="40"/>
        </w:rPr>
        <w:t>依托新中医院建设医养结合服务中心、妇幼保健院成立兰考县托育服务中心。加快兰考县疾控中心项目、康宁医院项目、眼病医院项目建设。</w:t>
      </w:r>
      <w:r>
        <w:rPr>
          <w:rFonts w:cs="Times New Roman"/>
          <w:szCs w:val="32"/>
        </w:rPr>
        <w:t>依托新中医院、妇幼保健院等医院建设相对独立的传染</w:t>
      </w:r>
      <w:r>
        <w:rPr>
          <w:rFonts w:hint="eastAsia" w:cs="Times New Roman"/>
          <w:szCs w:val="32"/>
        </w:rPr>
        <w:t>病</w:t>
      </w:r>
      <w:r>
        <w:rPr>
          <w:rFonts w:cs="Times New Roman"/>
          <w:szCs w:val="32"/>
        </w:rPr>
        <w:t>院区或符合规范的病房楼。</w:t>
      </w:r>
      <w:r>
        <w:rPr>
          <w:rFonts w:cs="Times New Roman"/>
          <w:szCs w:val="40"/>
        </w:rPr>
        <w:t>按照标准配置</w:t>
      </w:r>
      <w:r>
        <w:rPr>
          <w:rFonts w:cs="Times New Roman"/>
          <w:szCs w:val="32"/>
        </w:rPr>
        <w:t>疾病预防控制机构、卫生健康监督机构、健康教育机构、精神卫生机构、急救中心(站)、采供血机构等专业公共卫生机构</w:t>
      </w:r>
      <w:r>
        <w:rPr>
          <w:rFonts w:cs="Times New Roman"/>
          <w:szCs w:val="40"/>
        </w:rPr>
        <w:t>。</w:t>
      </w:r>
    </w:p>
    <w:p w14:paraId="65DFDE4E">
      <w:pPr>
        <w:spacing w:line="596" w:lineRule="exact"/>
        <w:ind w:firstLine="640"/>
        <w:rPr>
          <w:rFonts w:cs="Times New Roman"/>
          <w:szCs w:val="40"/>
        </w:rPr>
      </w:pPr>
      <w:r>
        <w:rPr>
          <w:rFonts w:cs="Times New Roman"/>
          <w:szCs w:val="40"/>
        </w:rPr>
        <w:t>城区街道建设10家社区卫生服务中心，打造城区夜间15分钟医疗服务圈，新建的社区卫生服务中心，与住宅建设项目同步规划、同步建设</w:t>
      </w:r>
      <w:r>
        <w:rPr>
          <w:rFonts w:hint="eastAsia" w:cs="Times New Roman"/>
          <w:szCs w:val="40"/>
        </w:rPr>
        <w:t>，</w:t>
      </w:r>
      <w:r>
        <w:rPr>
          <w:rFonts w:cs="Times New Roman"/>
          <w:szCs w:val="40"/>
        </w:rPr>
        <w:t>同步验收、同步交付使用。</w:t>
      </w:r>
    </w:p>
    <w:p w14:paraId="1DBE7293">
      <w:pPr>
        <w:spacing w:line="596" w:lineRule="exact"/>
        <w:ind w:firstLine="640"/>
        <w:rPr>
          <w:rFonts w:cs="Times New Roman"/>
          <w:szCs w:val="40"/>
        </w:rPr>
      </w:pPr>
      <w:r>
        <w:rPr>
          <w:rFonts w:cs="Times New Roman"/>
          <w:szCs w:val="40"/>
        </w:rPr>
        <w:t>每个乡镇办好1所乡镇卫生院，将谷营</w:t>
      </w:r>
      <w:r>
        <w:rPr>
          <w:rFonts w:hint="eastAsia" w:cs="Times New Roman"/>
        </w:rPr>
        <w:t>镇</w:t>
      </w:r>
      <w:r>
        <w:rPr>
          <w:rFonts w:cs="Times New Roman"/>
          <w:szCs w:val="40"/>
        </w:rPr>
        <w:t>、考城</w:t>
      </w:r>
      <w:r>
        <w:rPr>
          <w:rFonts w:hint="eastAsia" w:cs="Times New Roman"/>
        </w:rPr>
        <w:t>镇</w:t>
      </w:r>
      <w:r>
        <w:rPr>
          <w:rFonts w:cs="Times New Roman"/>
          <w:szCs w:val="40"/>
        </w:rPr>
        <w:t>、南彰</w:t>
      </w:r>
      <w:r>
        <w:rPr>
          <w:rFonts w:hint="eastAsia" w:cs="Times New Roman"/>
        </w:rPr>
        <w:t>镇</w:t>
      </w:r>
      <w:r>
        <w:rPr>
          <w:rFonts w:cs="Times New Roman"/>
          <w:szCs w:val="40"/>
        </w:rPr>
        <w:t>卫生院打造成为辐射周边乡镇</w:t>
      </w:r>
      <w:r>
        <w:rPr>
          <w:rFonts w:hint="eastAsia" w:cs="Times New Roman"/>
          <w:szCs w:val="40"/>
        </w:rPr>
        <w:t>的</w:t>
      </w:r>
      <w:r>
        <w:rPr>
          <w:rFonts w:cs="Times New Roman"/>
          <w:szCs w:val="40"/>
        </w:rPr>
        <w:t>中心卫生院，其余乡镇级卫生院扩容提质。</w:t>
      </w:r>
    </w:p>
    <w:p w14:paraId="00D9424A">
      <w:pPr>
        <w:spacing w:line="596" w:lineRule="exact"/>
        <w:ind w:firstLine="640"/>
      </w:pPr>
      <w:r>
        <w:rPr>
          <w:rFonts w:cs="Times New Roman"/>
          <w:szCs w:val="32"/>
        </w:rPr>
        <w:t>每个行政村建设1所标准化公有产权村卫生室，</w:t>
      </w:r>
      <w:r>
        <w:rPr>
          <w:rFonts w:cs="Times New Roman"/>
          <w:szCs w:val="40"/>
        </w:rPr>
        <w:t>整合村级医疗资源，打造村级医疗服务中心，村卫生室实行24小时亮灯。</w:t>
      </w:r>
    </w:p>
    <w:p w14:paraId="40FB9F7D">
      <w:pPr>
        <w:pStyle w:val="47"/>
        <w:spacing w:before="0" w:beforeLines="0" w:line="596" w:lineRule="exact"/>
        <w:ind w:firstLine="640"/>
        <w:rPr>
          <w:b w:val="0"/>
        </w:rPr>
      </w:pPr>
      <w:bookmarkStart w:id="171" w:name="_Toc26632"/>
      <w:r>
        <w:rPr>
          <w:b w:val="0"/>
        </w:rPr>
        <w:t>完善城乡一体社会</w:t>
      </w:r>
      <w:bookmarkEnd w:id="171"/>
      <w:r>
        <w:rPr>
          <w:b w:val="0"/>
        </w:rPr>
        <w:t>福利设施</w:t>
      </w:r>
    </w:p>
    <w:p w14:paraId="7413EF5B">
      <w:pPr>
        <w:spacing w:line="596" w:lineRule="exact"/>
        <w:ind w:firstLine="640"/>
        <w:rPr>
          <w:rFonts w:cs="Times New Roman"/>
          <w:szCs w:val="40"/>
        </w:rPr>
      </w:pPr>
      <w:r>
        <w:rPr>
          <w:rFonts w:hint="eastAsia" w:cs="Times New Roman"/>
          <w:szCs w:val="40"/>
        </w:rPr>
        <w:t>加强养老服务体系建设，完善“一院（养老院）一中心（镇、街道养老服务中心）多站点（村、社区照料中心）”的城乡养老服务格局。在现有街道综合养老服务中心和社区日间照料中心基础上，进一步推进养老服务中心建设规范化，打造“15分钟养老服务圈”，实现城市社区养老服务设施全覆盖；每个乡镇建设区域养老服务中心；利用农村闲置的村室、学校和废弃的宗教场所、企业厂房等资源，持续推进幸福日间照料中心建设。</w:t>
      </w:r>
    </w:p>
    <w:p w14:paraId="734BBF45">
      <w:pPr>
        <w:spacing w:line="596" w:lineRule="exact"/>
        <w:ind w:firstLine="640"/>
        <w:rPr>
          <w:rFonts w:cs="Times New Roman"/>
          <w:szCs w:val="40"/>
        </w:rPr>
      </w:pPr>
      <w:r>
        <w:rPr>
          <w:rFonts w:hint="eastAsia" w:cs="Times New Roman"/>
          <w:szCs w:val="40"/>
        </w:rPr>
        <w:t>加强医养结合服务基础设施建设，合理布局医养结合机构，健全居家、社区、机构相协调的医养康养服务网络，县域实现医疗卫生和养老服务设施覆盖全部城市社区、乡镇和行政村。</w:t>
      </w:r>
    </w:p>
    <w:p w14:paraId="786C2F1A">
      <w:pPr>
        <w:spacing w:line="596" w:lineRule="exact"/>
        <w:ind w:firstLine="640"/>
        <w:rPr>
          <w:rFonts w:cs="Times New Roman"/>
          <w:szCs w:val="40"/>
        </w:rPr>
      </w:pPr>
      <w:r>
        <w:rPr>
          <w:rFonts w:hint="eastAsia" w:cs="Times New Roman"/>
          <w:szCs w:val="40"/>
        </w:rPr>
        <w:t>加强社区托育设施建设，提高婴幼儿家庭获得服务的公平性和可及性</w:t>
      </w:r>
      <w:r>
        <w:rPr>
          <w:rFonts w:cs="Times New Roman"/>
          <w:szCs w:val="40"/>
        </w:rPr>
        <w:t>。</w:t>
      </w:r>
    </w:p>
    <w:p w14:paraId="4BB3A814">
      <w:pPr>
        <w:spacing w:line="596" w:lineRule="exact"/>
        <w:ind w:firstLine="640"/>
        <w:rPr>
          <w:rFonts w:cs="Times New Roman"/>
          <w:szCs w:val="40"/>
        </w:rPr>
      </w:pPr>
      <w:r>
        <w:rPr>
          <w:rFonts w:hint="eastAsia" w:cs="Times New Roman"/>
          <w:szCs w:val="40"/>
        </w:rPr>
        <w:t>加强殡葬设施建设。</w:t>
      </w:r>
      <w:r>
        <w:rPr>
          <w:rFonts w:hint="eastAsia" w:cs="Times New Roman"/>
          <w:szCs w:val="40"/>
          <w:lang w:val="en-US" w:eastAsia="zh-CN"/>
        </w:rPr>
        <w:t>根据实际需求建设</w:t>
      </w:r>
      <w:r>
        <w:rPr>
          <w:rFonts w:hint="eastAsia" w:cs="Times New Roman"/>
          <w:szCs w:val="40"/>
        </w:rPr>
        <w:t>公益性公墓。</w:t>
      </w:r>
    </w:p>
    <w:p w14:paraId="14464B92">
      <w:pPr>
        <w:pStyle w:val="47"/>
        <w:spacing w:before="0" w:beforeLines="0" w:line="596" w:lineRule="exact"/>
        <w:ind w:firstLine="640"/>
        <w:rPr>
          <w:b w:val="0"/>
        </w:rPr>
      </w:pPr>
      <w:bookmarkStart w:id="172" w:name="_Toc9845"/>
      <w:r>
        <w:rPr>
          <w:b w:val="0"/>
        </w:rPr>
        <w:t>推动城乡文体设施普惠共享</w:t>
      </w:r>
      <w:bookmarkEnd w:id="172"/>
    </w:p>
    <w:p w14:paraId="6D0ADD97">
      <w:pPr>
        <w:spacing w:line="596" w:lineRule="exact"/>
        <w:ind w:firstLine="640"/>
        <w:rPr>
          <w:rFonts w:cs="Times New Roman"/>
          <w:szCs w:val="40"/>
        </w:rPr>
      </w:pPr>
      <w:r>
        <w:rPr>
          <w:rFonts w:cs="Times New Roman"/>
          <w:szCs w:val="40"/>
        </w:rPr>
        <w:t>建设档案馆、美术艺术馆、博物馆、科技馆，改造人民文化馆、综合文化站、图书馆，建成城市书房、小区文化活动室等公共文化空间。推进“乡村记忆工程”建设，开展黄河文化、农耕文化遗址遗迹线索普查，加强黄河沿线乡村文化研究，打造一批集乡土建筑和乡村民俗为一体的“乡村博物馆”。</w:t>
      </w:r>
    </w:p>
    <w:p w14:paraId="3B5CB7EB">
      <w:pPr>
        <w:pStyle w:val="47"/>
        <w:spacing w:before="0" w:beforeLines="0" w:line="596" w:lineRule="exact"/>
        <w:ind w:firstLine="640"/>
        <w:rPr>
          <w:b w:val="0"/>
        </w:rPr>
      </w:pPr>
      <w:bookmarkStart w:id="173" w:name="_Toc31025"/>
      <w:r>
        <w:rPr>
          <w:b w:val="0"/>
        </w:rPr>
        <w:t>加快城乡基础设施一体化</w:t>
      </w:r>
      <w:bookmarkEnd w:id="173"/>
    </w:p>
    <w:p w14:paraId="0C56E0A9">
      <w:pPr>
        <w:spacing w:line="596" w:lineRule="exact"/>
        <w:ind w:firstLine="640"/>
        <w:rPr>
          <w:rFonts w:cs="Times New Roman"/>
        </w:rPr>
      </w:pPr>
      <w:r>
        <w:rPr>
          <w:rFonts w:cs="Times New Roman"/>
        </w:rPr>
        <w:t>统筹规划和布局县域城乡道路、供水、排水、供电、燃气、热力、信息、环卫和综合防灾等基础设施。加快推动基础设施互通互联，引导基础设施建设向乡镇和农村倾斜，坚持先建机制、后建工程，加快乡村基础设施提档升级，实现城乡基础设施统一规划、统一建设、统一管护。</w:t>
      </w:r>
    </w:p>
    <w:p w14:paraId="54AF1808">
      <w:pPr>
        <w:pStyle w:val="3"/>
        <w:numPr>
          <w:ilvl w:val="0"/>
          <w:numId w:val="7"/>
        </w:numPr>
      </w:pPr>
      <w:bookmarkStart w:id="174" w:name="_Toc25824"/>
      <w:bookmarkStart w:id="175" w:name="_Toc1124"/>
      <w:bookmarkStart w:id="176" w:name="_Toc20863"/>
      <w:bookmarkStart w:id="177" w:name="_Toc19849"/>
      <w:r>
        <w:t>连通城乡</w:t>
      </w:r>
      <w:bookmarkEnd w:id="174"/>
      <w:bookmarkEnd w:id="175"/>
      <w:r>
        <w:t>蓝绿交织的生态网络</w:t>
      </w:r>
      <w:bookmarkEnd w:id="176"/>
    </w:p>
    <w:p w14:paraId="434ACA1C">
      <w:pPr>
        <w:pStyle w:val="47"/>
        <w:spacing w:before="0" w:beforeLines="0" w:line="596" w:lineRule="exact"/>
        <w:ind w:firstLine="640"/>
        <w:rPr>
          <w:b w:val="0"/>
        </w:rPr>
      </w:pPr>
      <w:bookmarkStart w:id="178" w:name="_Toc3175"/>
      <w:r>
        <w:rPr>
          <w:b w:val="0"/>
        </w:rPr>
        <w:t>“理水通脉”连通城乡水系</w:t>
      </w:r>
    </w:p>
    <w:p w14:paraId="0266BDB1">
      <w:pPr>
        <w:pStyle w:val="29"/>
        <w:spacing w:after="0" w:line="596" w:lineRule="exact"/>
        <w:ind w:firstLine="640"/>
        <w:rPr>
          <w:rFonts w:ascii="Times New Roman" w:hAnsi="Times New Roman" w:cs="Times New Roman"/>
        </w:rPr>
      </w:pPr>
      <w:r>
        <w:rPr>
          <w:rFonts w:ascii="Times New Roman" w:hAnsi="Times New Roman" w:cs="Times New Roman"/>
        </w:rPr>
        <w:t>梳理</w:t>
      </w:r>
      <w:r>
        <w:rPr>
          <w:rFonts w:hint="eastAsia" w:ascii="Times New Roman" w:hAnsi="Times New Roman" w:cs="Times New Roman"/>
        </w:rPr>
        <w:t>兰考县</w:t>
      </w:r>
      <w:r>
        <w:rPr>
          <w:rFonts w:ascii="Times New Roman" w:hAnsi="Times New Roman" w:cs="Times New Roman"/>
        </w:rPr>
        <w:t>主要河流和干渠，推进实现主要水系的互联互通。加大对河道、干渠、水库的整治力度，不断改善</w:t>
      </w:r>
      <w:r>
        <w:rPr>
          <w:rFonts w:hint="eastAsia" w:ascii="Times New Roman" w:hAnsi="Times New Roman" w:cs="Times New Roman"/>
        </w:rPr>
        <w:t>兰考县</w:t>
      </w:r>
      <w:r>
        <w:rPr>
          <w:rFonts w:ascii="Times New Roman" w:hAnsi="Times New Roman" w:cs="Times New Roman"/>
        </w:rPr>
        <w:t>水生态环境，构建水生态网络，扎实开展河湖综合执法专项活动，提升水环境质量，实现引排自如、活水不腐。</w:t>
      </w:r>
    </w:p>
    <w:p w14:paraId="3A70EB87">
      <w:pPr>
        <w:pStyle w:val="47"/>
        <w:spacing w:before="0" w:beforeLines="0" w:line="596" w:lineRule="exact"/>
        <w:ind w:firstLine="640"/>
        <w:rPr>
          <w:b w:val="0"/>
        </w:rPr>
      </w:pPr>
      <w:r>
        <w:rPr>
          <w:b w:val="0"/>
        </w:rPr>
        <w:t>“织绿成网”连通城乡绿道</w:t>
      </w:r>
    </w:p>
    <w:p w14:paraId="1483B9A1">
      <w:pPr>
        <w:pStyle w:val="29"/>
        <w:spacing w:after="0" w:line="596" w:lineRule="exact"/>
        <w:ind w:firstLine="640"/>
        <w:rPr>
          <w:rFonts w:ascii="Times New Roman" w:hAnsi="Times New Roman" w:cs="Times New Roman"/>
        </w:rPr>
      </w:pPr>
      <w:r>
        <w:rPr>
          <w:rFonts w:ascii="Times New Roman" w:hAnsi="Times New Roman" w:cs="Times New Roman"/>
        </w:rPr>
        <w:t>织补点状林地，打造林地生态斑块，实现林地成片。加强泡桐公园、造纸林场、仪封园艺场、黄河故道林带的有效衔接，构建网络式绿地系统。以环城廊道为中心环线，国省县级公路、高速公路等为放射线，建设多条森林绿道，预留城乡发展呼吸风道，改善城乡发展气候环境条件。</w:t>
      </w:r>
    </w:p>
    <w:p w14:paraId="747FF4D6">
      <w:pPr>
        <w:pStyle w:val="47"/>
        <w:spacing w:before="0" w:beforeLines="0" w:line="596" w:lineRule="exact"/>
        <w:ind w:firstLine="640"/>
        <w:rPr>
          <w:b w:val="0"/>
        </w:rPr>
      </w:pPr>
      <w:r>
        <w:rPr>
          <w:b w:val="0"/>
        </w:rPr>
        <w:t>生态资源利用</w:t>
      </w:r>
      <w:bookmarkEnd w:id="178"/>
    </w:p>
    <w:p w14:paraId="145FF58A">
      <w:pPr>
        <w:pStyle w:val="29"/>
        <w:spacing w:after="0" w:line="596" w:lineRule="exact"/>
        <w:ind w:firstLine="640"/>
        <w:rPr>
          <w:rFonts w:ascii="Times New Roman" w:hAnsi="Times New Roman" w:cs="Times New Roman"/>
        </w:rPr>
      </w:pPr>
      <w:r>
        <w:rPr>
          <w:rFonts w:ascii="Times New Roman" w:hAnsi="Times New Roman" w:cs="Times New Roman"/>
        </w:rPr>
        <w:t>建设由绿廊、慢行道、驿站和标识构成的骑行绿道系统，连通县域范围内的文化资源和生态资源，打造一整天文旅圈，发挥生态资源的社会价值和经济价值。</w:t>
      </w:r>
    </w:p>
    <w:p w14:paraId="2E78AF38">
      <w:pPr>
        <w:pStyle w:val="3"/>
        <w:numPr>
          <w:ilvl w:val="0"/>
          <w:numId w:val="7"/>
        </w:numPr>
      </w:pPr>
      <w:bookmarkStart w:id="179" w:name="_Toc3297"/>
      <w:r>
        <w:t>塑造具有地域特色的城乡风貌</w:t>
      </w:r>
      <w:bookmarkEnd w:id="177"/>
      <w:bookmarkEnd w:id="179"/>
    </w:p>
    <w:p w14:paraId="0DB4148D">
      <w:pPr>
        <w:pStyle w:val="47"/>
        <w:spacing w:before="0" w:beforeLines="0" w:line="596" w:lineRule="exact"/>
        <w:ind w:firstLine="640"/>
        <w:rPr>
          <w:b w:val="0"/>
        </w:rPr>
      </w:pPr>
      <w:bookmarkStart w:id="180" w:name="_Toc23067"/>
      <w:bookmarkStart w:id="181" w:name="_Toc13820"/>
      <w:bookmarkStart w:id="182" w:name="_Toc20443"/>
      <w:r>
        <w:rPr>
          <w:b w:val="0"/>
        </w:rPr>
        <w:t>城乡总体风貌</w:t>
      </w:r>
      <w:bookmarkEnd w:id="180"/>
      <w:bookmarkEnd w:id="181"/>
      <w:bookmarkEnd w:id="182"/>
    </w:p>
    <w:p w14:paraId="66D3BB29">
      <w:pPr>
        <w:spacing w:line="596" w:lineRule="exact"/>
        <w:ind w:firstLine="640"/>
        <w:rPr>
          <w:rFonts w:cs="Times New Roman"/>
        </w:rPr>
      </w:pPr>
      <w:r>
        <w:rPr>
          <w:rFonts w:cs="Times New Roman"/>
        </w:rPr>
        <w:t>总体风貌定位：“黄河安澜明珠”、“红色精神圣地”。</w:t>
      </w:r>
    </w:p>
    <w:p w14:paraId="3D58BC5C">
      <w:pPr>
        <w:spacing w:line="596" w:lineRule="exact"/>
        <w:ind w:firstLine="640"/>
        <w:rPr>
          <w:rFonts w:cs="Times New Roman"/>
        </w:rPr>
      </w:pPr>
      <w:r>
        <w:rPr>
          <w:rFonts w:cs="Times New Roman"/>
        </w:rPr>
        <w:t>规划以“城”为核心，“水”为骨架，“林田”为基底，“文化”为纽带，形成“一核四廊四区”的城乡风貌架构。</w:t>
      </w:r>
    </w:p>
    <w:p w14:paraId="324A23AE">
      <w:pPr>
        <w:spacing w:line="596" w:lineRule="exact"/>
        <w:ind w:firstLine="640"/>
        <w:rPr>
          <w:rFonts w:cs="Times New Roman"/>
        </w:rPr>
      </w:pPr>
      <w:r>
        <w:rPr>
          <w:rFonts w:cs="Times New Roman"/>
        </w:rPr>
        <w:t>一核是指中心城区风貌主核</w:t>
      </w:r>
      <w:r>
        <w:rPr>
          <w:rFonts w:hint="eastAsia" w:cs="Times New Roman"/>
        </w:rPr>
        <w:t>。</w:t>
      </w:r>
    </w:p>
    <w:p w14:paraId="43D5267C">
      <w:pPr>
        <w:spacing w:line="596" w:lineRule="exact"/>
        <w:ind w:firstLine="640"/>
        <w:rPr>
          <w:rFonts w:cs="Times New Roman"/>
        </w:rPr>
      </w:pPr>
      <w:r>
        <w:rPr>
          <w:rFonts w:cs="Times New Roman"/>
        </w:rPr>
        <w:t>四廊包括黄河生态景观廊、引黄干渠-魏东干渠滨水景观廊和南北两条黄河故道林地景观廊</w:t>
      </w:r>
      <w:r>
        <w:rPr>
          <w:rFonts w:hint="eastAsia" w:cs="Times New Roman"/>
        </w:rPr>
        <w:t>。</w:t>
      </w:r>
    </w:p>
    <w:p w14:paraId="07A6A3C6">
      <w:pPr>
        <w:spacing w:line="596" w:lineRule="exact"/>
        <w:ind w:firstLine="640"/>
        <w:rPr>
          <w:rFonts w:cs="Times New Roman"/>
        </w:rPr>
      </w:pPr>
      <w:r>
        <w:rPr>
          <w:rFonts w:cs="Times New Roman"/>
        </w:rPr>
        <w:t>四片区包括黄河湾红色文化风貌区、黄河滩区风貌区、现代镇区风貌区、生态田园风貌区。</w:t>
      </w:r>
    </w:p>
    <w:p w14:paraId="73F87559">
      <w:pPr>
        <w:pStyle w:val="47"/>
        <w:spacing w:before="0" w:beforeLines="0" w:line="596" w:lineRule="exact"/>
        <w:ind w:firstLine="640"/>
        <w:rPr>
          <w:b w:val="0"/>
        </w:rPr>
      </w:pPr>
      <w:r>
        <w:rPr>
          <w:b w:val="0"/>
        </w:rPr>
        <w:t>打造特色村庄</w:t>
      </w:r>
    </w:p>
    <w:p w14:paraId="367B22A3">
      <w:pPr>
        <w:pStyle w:val="7"/>
        <w:spacing w:line="596" w:lineRule="exact"/>
        <w:ind w:firstLine="640"/>
        <w:rPr>
          <w:rFonts w:cs="Times New Roman"/>
          <w:sz w:val="32"/>
        </w:rPr>
      </w:pPr>
      <w:r>
        <w:rPr>
          <w:rFonts w:cs="Times New Roman"/>
          <w:sz w:val="32"/>
        </w:rPr>
        <w:t>协调村庄与河、渠、林、田之间的关系，形成村庄与自然环境协调融合的格局。保持自然河道蜿蜒形态与田间沟渠的连通性，结合田间林网和村庄道路形成局部景观节点。以公路、水系为一定的边界，保持规整的田埂形态，形成阡陌纵横的肌理。结合集中连片的特色民居和特色产业，打造特色村庄。</w:t>
      </w:r>
    </w:p>
    <w:p w14:paraId="357D4049">
      <w:pPr>
        <w:pStyle w:val="47"/>
        <w:spacing w:before="0" w:beforeLines="0" w:line="596" w:lineRule="exact"/>
        <w:ind w:firstLine="640"/>
        <w:rPr>
          <w:b w:val="0"/>
        </w:rPr>
      </w:pPr>
      <w:bookmarkStart w:id="183" w:name="_Toc4775"/>
      <w:r>
        <w:rPr>
          <w:b w:val="0"/>
        </w:rPr>
        <w:t>村庄环境整治</w:t>
      </w:r>
      <w:bookmarkEnd w:id="183"/>
    </w:p>
    <w:p w14:paraId="4FBC2918">
      <w:pPr>
        <w:pStyle w:val="7"/>
        <w:spacing w:line="596" w:lineRule="exact"/>
        <w:ind w:firstLine="640"/>
        <w:rPr>
          <w:rFonts w:cs="Times New Roman"/>
          <w:sz w:val="32"/>
        </w:rPr>
      </w:pPr>
      <w:bookmarkStart w:id="184" w:name="_Toc26307"/>
      <w:r>
        <w:rPr>
          <w:rFonts w:cs="Times New Roman"/>
          <w:sz w:val="32"/>
        </w:rPr>
        <w:t>村庄环境整治主要包括村庄道路整治改造，村庄雨污水整治改造，强弱电整治改造，村庄绿化及亮化整治改造，户厕、环卫整治改造等工程。通过村庄环境整治，将</w:t>
      </w:r>
      <w:r>
        <w:rPr>
          <w:rFonts w:hint="eastAsia" w:cs="Times New Roman"/>
          <w:sz w:val="32"/>
        </w:rPr>
        <w:t>兰考县</w:t>
      </w:r>
      <w:r>
        <w:rPr>
          <w:rFonts w:cs="Times New Roman"/>
          <w:sz w:val="32"/>
        </w:rPr>
        <w:t>乡村打造成为“户户像花园，村村像公园”的宜美宜居新乡村，处处是“村景四季美不同，百村万户绿映红”的靓丽景观。</w:t>
      </w:r>
    </w:p>
    <w:p w14:paraId="5E841E07">
      <w:pPr>
        <w:pStyle w:val="47"/>
        <w:spacing w:before="0" w:beforeLines="0" w:line="596" w:lineRule="exact"/>
        <w:ind w:firstLine="640"/>
        <w:rPr>
          <w:b w:val="0"/>
        </w:rPr>
      </w:pPr>
      <w:r>
        <w:rPr>
          <w:b w:val="0"/>
        </w:rPr>
        <w:t>村容村貌提升</w:t>
      </w:r>
      <w:bookmarkEnd w:id="184"/>
    </w:p>
    <w:p w14:paraId="2E183F9E">
      <w:pPr>
        <w:pStyle w:val="7"/>
        <w:spacing w:line="596" w:lineRule="exact"/>
        <w:ind w:firstLine="640"/>
        <w:rPr>
          <w:rFonts w:cs="Times New Roman"/>
        </w:rPr>
      </w:pPr>
      <w:r>
        <w:rPr>
          <w:rFonts w:cs="Times New Roman"/>
          <w:sz w:val="32"/>
        </w:rPr>
        <w:t>村容村貌提升主要对村庄闲置空间、围墙、外立面整治提升，对危旧房屋整治修复，强化“美丽庭院”、重要景观节点、景观小品建设等村容村貌提升改造工程建设。加强村庄风貌建设引导，有效提升村容村貌，打造具有</w:t>
      </w:r>
      <w:r>
        <w:rPr>
          <w:rFonts w:hint="eastAsia" w:cs="Times New Roman"/>
          <w:sz w:val="32"/>
        </w:rPr>
        <w:t>兰考县</w:t>
      </w:r>
      <w:r>
        <w:rPr>
          <w:rFonts w:cs="Times New Roman"/>
          <w:sz w:val="32"/>
        </w:rPr>
        <w:t>独特风格的社会主义现代化农村新面貌。</w:t>
      </w:r>
    </w:p>
    <w:p w14:paraId="500DC4BA">
      <w:pPr>
        <w:pStyle w:val="7"/>
        <w:spacing w:line="596" w:lineRule="exact"/>
        <w:ind w:firstLine="480"/>
        <w:rPr>
          <w:rFonts w:cs="Times New Roman"/>
        </w:rPr>
      </w:pPr>
    </w:p>
    <w:p w14:paraId="03ABA1DE">
      <w:pPr>
        <w:pStyle w:val="28"/>
        <w:sectPr>
          <w:pgSz w:w="11906" w:h="16838"/>
          <w:pgMar w:top="1440" w:right="1797" w:bottom="1440" w:left="1797" w:header="851" w:footer="992" w:gutter="0"/>
          <w:cols w:space="425" w:num="1"/>
          <w:docGrid w:type="linesAndChars" w:linePitch="312" w:charSpace="0"/>
        </w:sectPr>
      </w:pPr>
    </w:p>
    <w:p w14:paraId="427BFB4E">
      <w:pPr>
        <w:ind w:firstLine="0" w:firstLineChars="0"/>
        <w:rPr>
          <w:rFonts w:cs="Times New Roman"/>
        </w:rPr>
      </w:pPr>
      <w:bookmarkStart w:id="185" w:name="_Toc865"/>
      <w:bookmarkStart w:id="186" w:name="_Toc15919"/>
    </w:p>
    <w:p w14:paraId="3B82D3EE">
      <w:pPr>
        <w:pStyle w:val="2"/>
        <w:spacing w:before="200" w:beforeLines="0" w:after="400" w:afterLines="0" w:line="596" w:lineRule="exact"/>
        <w:ind w:left="0"/>
        <w:rPr>
          <w:color w:val="auto"/>
        </w:rPr>
      </w:pPr>
      <w:bookmarkStart w:id="187" w:name="_Toc4904"/>
      <w:r>
        <w:rPr>
          <w:color w:val="auto"/>
        </w:rPr>
        <w:t>高水平营建产城融合的现代</w:t>
      </w:r>
      <w:bookmarkEnd w:id="185"/>
      <w:bookmarkEnd w:id="186"/>
      <w:r>
        <w:rPr>
          <w:rFonts w:hint="eastAsia"/>
          <w:color w:val="auto"/>
        </w:rPr>
        <w:t>文明新城</w:t>
      </w:r>
      <w:bookmarkEnd w:id="187"/>
    </w:p>
    <w:p w14:paraId="0F911473">
      <w:pPr>
        <w:pStyle w:val="3"/>
        <w:numPr>
          <w:ilvl w:val="0"/>
          <w:numId w:val="8"/>
        </w:numPr>
      </w:pPr>
      <w:bookmarkStart w:id="188" w:name="_Toc17854"/>
      <w:bookmarkStart w:id="189" w:name="_Toc27026"/>
      <w:bookmarkStart w:id="190" w:name="_Toc14548"/>
      <w:bookmarkStart w:id="191" w:name="_Toc3930"/>
      <w:r>
        <w:t>合理确定城市规模</w:t>
      </w:r>
      <w:bookmarkEnd w:id="188"/>
    </w:p>
    <w:p w14:paraId="14294D6C">
      <w:pPr>
        <w:pStyle w:val="47"/>
        <w:spacing w:before="0" w:beforeLines="0" w:line="596" w:lineRule="exact"/>
        <w:ind w:firstLine="640"/>
        <w:rPr>
          <w:b w:val="0"/>
        </w:rPr>
      </w:pPr>
      <w:r>
        <w:rPr>
          <w:b w:val="0"/>
        </w:rPr>
        <w:t>人口规模</w:t>
      </w:r>
    </w:p>
    <w:p w14:paraId="4AB17810">
      <w:pPr>
        <w:spacing w:line="596" w:lineRule="exact"/>
        <w:ind w:firstLine="640"/>
        <w:rPr>
          <w:rFonts w:cs="Times New Roman"/>
        </w:rPr>
      </w:pPr>
      <w:r>
        <w:rPr>
          <w:rFonts w:cs="Times New Roman"/>
        </w:rPr>
        <w:t>中心城区现状22.5万人，规划2025年达到31万人，2035年达到50万人。</w:t>
      </w:r>
    </w:p>
    <w:p w14:paraId="67845808">
      <w:pPr>
        <w:pStyle w:val="47"/>
        <w:spacing w:before="0" w:beforeLines="0" w:line="596" w:lineRule="exact"/>
        <w:ind w:firstLine="640"/>
        <w:rPr>
          <w:b w:val="0"/>
        </w:rPr>
      </w:pPr>
      <w:r>
        <w:rPr>
          <w:b w:val="0"/>
        </w:rPr>
        <w:t>用地规模</w:t>
      </w:r>
    </w:p>
    <w:p w14:paraId="64CC567B">
      <w:pPr>
        <w:spacing w:line="596" w:lineRule="exact"/>
        <w:ind w:firstLine="640"/>
        <w:rPr>
          <w:rFonts w:cs="Times New Roman"/>
        </w:rPr>
      </w:pPr>
      <w:r>
        <w:rPr>
          <w:rFonts w:cs="Times New Roman"/>
        </w:rPr>
        <w:t>中心城区现状城镇建设用地35.61平方公里，人均158.27平方米；规划2025年中心城区城镇建设用地47.17平方公里；</w:t>
      </w:r>
      <w:r>
        <w:rPr>
          <w:rFonts w:cs="Times New Roman"/>
          <w:u w:val="none"/>
        </w:rPr>
        <w:t>规划2035年中心城区城镇建设用地65.65平方公里。</w:t>
      </w:r>
    </w:p>
    <w:p w14:paraId="74E41117">
      <w:pPr>
        <w:pStyle w:val="3"/>
        <w:numPr>
          <w:ilvl w:val="0"/>
          <w:numId w:val="8"/>
        </w:numPr>
      </w:pPr>
      <w:bookmarkStart w:id="192" w:name="_Toc20905"/>
      <w:r>
        <w:t>优化城市空间布局</w:t>
      </w:r>
      <w:bookmarkEnd w:id="192"/>
    </w:p>
    <w:bookmarkEnd w:id="189"/>
    <w:bookmarkEnd w:id="190"/>
    <w:bookmarkEnd w:id="191"/>
    <w:p w14:paraId="0CCD1924">
      <w:pPr>
        <w:pStyle w:val="47"/>
        <w:spacing w:before="0" w:beforeLines="0" w:line="596" w:lineRule="exact"/>
        <w:ind w:firstLine="640"/>
        <w:rPr>
          <w:b w:val="0"/>
        </w:rPr>
      </w:pPr>
      <w:bookmarkStart w:id="193" w:name="_Toc12179"/>
      <w:bookmarkStart w:id="194" w:name="_Toc28623"/>
      <w:bookmarkStart w:id="195" w:name="_Toc30318"/>
      <w:r>
        <w:rPr>
          <w:b w:val="0"/>
        </w:rPr>
        <w:t>中心城区空间结构</w:t>
      </w:r>
      <w:bookmarkEnd w:id="193"/>
      <w:bookmarkEnd w:id="194"/>
      <w:bookmarkEnd w:id="195"/>
    </w:p>
    <w:p w14:paraId="3B6835B7">
      <w:pPr>
        <w:spacing w:line="596" w:lineRule="exact"/>
        <w:ind w:firstLine="640"/>
        <w:rPr>
          <w:rFonts w:cs="Times New Roman"/>
        </w:rPr>
      </w:pPr>
      <w:r>
        <w:rPr>
          <w:rFonts w:cs="Times New Roman"/>
        </w:rPr>
        <w:t>构建“两带三轴四心五区”的城市空间结构。</w:t>
      </w:r>
    </w:p>
    <w:p w14:paraId="31DDD12A">
      <w:pPr>
        <w:spacing w:line="596" w:lineRule="exact"/>
        <w:ind w:firstLine="640"/>
        <w:rPr>
          <w:rFonts w:cs="Times New Roman"/>
        </w:rPr>
      </w:pPr>
      <w:bookmarkStart w:id="196" w:name="_Toc4864"/>
      <w:bookmarkStart w:id="197" w:name="_Toc14534"/>
      <w:bookmarkStart w:id="198" w:name="_Toc1566"/>
      <w:r>
        <w:rPr>
          <w:rFonts w:cs="Times New Roman"/>
        </w:rPr>
        <w:t>两带：陇海铁路生态防护绿带、兰阳河生态休闲景观带。</w:t>
      </w:r>
    </w:p>
    <w:p w14:paraId="234F0E48">
      <w:pPr>
        <w:spacing w:line="596" w:lineRule="exact"/>
        <w:ind w:firstLine="640"/>
        <w:rPr>
          <w:rFonts w:cs="Times New Roman"/>
        </w:rPr>
      </w:pPr>
      <w:r>
        <w:rPr>
          <w:rFonts w:cs="Times New Roman"/>
        </w:rPr>
        <w:t>三轴：沿中山大道形成的东西向城市空间拓展发展轴、沿裕禄大道-迎宾大道形成的南北向城市产城融合发展轴、沿西环路以战略新兴产业发展为核心形成智慧科创发展轴。</w:t>
      </w:r>
    </w:p>
    <w:p w14:paraId="4462B9F4">
      <w:pPr>
        <w:spacing w:line="596" w:lineRule="exact"/>
        <w:ind w:firstLine="640"/>
        <w:rPr>
          <w:rFonts w:cs="Times New Roman"/>
        </w:rPr>
      </w:pPr>
      <w:r>
        <w:rPr>
          <w:rFonts w:cs="Times New Roman"/>
        </w:rPr>
        <w:t>四心：老城综合服务中心、新区创新服务中心、行政文化中心、产业服务中心。</w:t>
      </w:r>
    </w:p>
    <w:p w14:paraId="6B31E541">
      <w:pPr>
        <w:spacing w:line="596" w:lineRule="exact"/>
        <w:ind w:firstLine="640"/>
        <w:rPr>
          <w:rFonts w:cs="Times New Roman"/>
        </w:rPr>
      </w:pPr>
      <w:r>
        <w:rPr>
          <w:rFonts w:cs="Times New Roman"/>
        </w:rPr>
        <w:t>五区：科创新区、老城区、行政文化区、经济技术开发区、城北产业功能区。</w:t>
      </w:r>
    </w:p>
    <w:p w14:paraId="519ED01C">
      <w:pPr>
        <w:pStyle w:val="47"/>
        <w:spacing w:before="0" w:beforeLines="0" w:line="596" w:lineRule="exact"/>
        <w:ind w:firstLine="640"/>
        <w:rPr>
          <w:b w:val="0"/>
        </w:rPr>
      </w:pPr>
      <w:r>
        <w:rPr>
          <w:b w:val="0"/>
        </w:rPr>
        <w:t>中心城区规划分区</w:t>
      </w:r>
      <w:bookmarkEnd w:id="196"/>
      <w:bookmarkEnd w:id="197"/>
      <w:bookmarkEnd w:id="198"/>
    </w:p>
    <w:p w14:paraId="659AFDAB">
      <w:pPr>
        <w:spacing w:line="596" w:lineRule="exact"/>
        <w:ind w:firstLine="640"/>
        <w:rPr>
          <w:rFonts w:cs="Times New Roman"/>
        </w:rPr>
      </w:pPr>
      <w:bookmarkStart w:id="199" w:name="_Toc30858"/>
      <w:bookmarkStart w:id="200" w:name="_Toc21391"/>
      <w:bookmarkStart w:id="201" w:name="_Toc5950"/>
      <w:r>
        <w:rPr>
          <w:rFonts w:cs="Times New Roman"/>
        </w:rPr>
        <w:t>以中心城区主体功能定位为基础，划分为两级规划分区。中心城区一级规划分区划分为农田保护区、生态保护区、生态控制区、城镇发展区、乡村发展区</w:t>
      </w:r>
      <w:r>
        <w:rPr>
          <w:rFonts w:hint="eastAsia" w:cs="Times New Roman"/>
        </w:rPr>
        <w:t>。</w:t>
      </w:r>
      <w:r>
        <w:rPr>
          <w:rFonts w:cs="Times New Roman"/>
        </w:rPr>
        <w:t>农田保护区主要为S218沿线、陇海铁路沿线零星</w:t>
      </w:r>
      <w:r>
        <w:rPr>
          <w:rFonts w:hint="eastAsia" w:cs="Times New Roman"/>
        </w:rPr>
        <w:t>永久</w:t>
      </w:r>
      <w:r>
        <w:rPr>
          <w:rFonts w:cs="Times New Roman"/>
        </w:rPr>
        <w:t>基本农田；生态保护区主要为兰阳河及两侧区域；生态控制区主要为四干渠及两侧区域；城镇发展区主要为城镇集中建设区；乡村发展区位于城镇开发边界外围。城镇发展区、乡村发展区划分至二级规划分区，其中，城镇发展区分为居住生活区、综合服务区、商业商务区、工业物流区、绿地休闲区、交通枢纽区6个主导功能分区，乡村发展区分为村庄建设区和一般农业区2个主导功能分区。</w:t>
      </w:r>
    </w:p>
    <w:p w14:paraId="0036E396">
      <w:pPr>
        <w:spacing w:line="596" w:lineRule="exact"/>
        <w:ind w:firstLine="640"/>
        <w:rPr>
          <w:rFonts w:cs="Times New Roman"/>
        </w:rPr>
      </w:pPr>
      <w:r>
        <w:rPr>
          <w:rFonts w:cs="Times New Roman"/>
        </w:rPr>
        <w:t>城镇发展区原则上以3-5平方公里的规模合理划分城市功能分区单元，明确反映中心城区总体空间结构和功能布局。</w:t>
      </w:r>
      <w:r>
        <w:rPr>
          <w:rFonts w:hint="eastAsia" w:cs="Times New Roman"/>
        </w:rPr>
        <w:t>乡村发展区（中心城区范围内、城镇开发边界外的区域）编制乡镇级国土空间规划和村庄规划，作为规划实施和管理的依据。</w:t>
      </w:r>
    </w:p>
    <w:p w14:paraId="0788B187">
      <w:pPr>
        <w:spacing w:line="596" w:lineRule="exact"/>
        <w:ind w:firstLine="640"/>
        <w:rPr>
          <w:rFonts w:cs="Times New Roman"/>
        </w:rPr>
      </w:pPr>
      <w:r>
        <w:rPr>
          <w:rFonts w:cs="Times New Roman"/>
        </w:rPr>
        <w:t>居住生活区：划分6处居住生活功能单元。以居住及其配套设施为主导功能导向，在保障主要功能导向的前提下鼓励多元功能的适度混合。</w:t>
      </w:r>
    </w:p>
    <w:p w14:paraId="79D1D2F2">
      <w:pPr>
        <w:spacing w:line="596" w:lineRule="exact"/>
        <w:ind w:firstLine="640"/>
        <w:rPr>
          <w:rFonts w:cs="Times New Roman"/>
        </w:rPr>
      </w:pPr>
      <w:r>
        <w:rPr>
          <w:rFonts w:cs="Times New Roman"/>
        </w:rPr>
        <w:t>综合服务区：划分2处综合服务功能单元。以提供行政办公、文化体育、教育、医疗等服务为主要功能导向，应满足服务等级、规模及类型要求。</w:t>
      </w:r>
    </w:p>
    <w:p w14:paraId="7B864922">
      <w:pPr>
        <w:spacing w:line="596" w:lineRule="exact"/>
        <w:ind w:firstLine="640"/>
        <w:rPr>
          <w:rFonts w:cs="Times New Roman"/>
        </w:rPr>
      </w:pPr>
      <w:r>
        <w:rPr>
          <w:rFonts w:cs="Times New Roman"/>
        </w:rPr>
        <w:t>商业商务区：划分4处商业商务功能单元。以提供商业服务、商务办公为主要功能导向，应集约紧凑，鼓励多元功能的适度混合。</w:t>
      </w:r>
    </w:p>
    <w:p w14:paraId="5F65CC5A">
      <w:pPr>
        <w:spacing w:line="596" w:lineRule="exact"/>
        <w:ind w:firstLine="640"/>
        <w:rPr>
          <w:rFonts w:cs="Times New Roman"/>
        </w:rPr>
      </w:pPr>
      <w:r>
        <w:rPr>
          <w:rFonts w:cs="Times New Roman"/>
        </w:rPr>
        <w:t>工业物流区：划分6处工业物流功能单元。以工业、仓储物流及其配套产业为主要功能导向，应注重与周边其他功能区协调好安全防护关系。</w:t>
      </w:r>
    </w:p>
    <w:p w14:paraId="0A93D8A3">
      <w:pPr>
        <w:spacing w:line="596" w:lineRule="exact"/>
        <w:ind w:firstLine="640"/>
        <w:rPr>
          <w:rFonts w:cs="Times New Roman"/>
        </w:rPr>
      </w:pPr>
      <w:r>
        <w:rPr>
          <w:rFonts w:cs="Times New Roman"/>
        </w:rPr>
        <w:t>绿地休闲区：划分2处绿地休闲功能单元。以公园绿地、滨水开放空间、防护绿地等为主要导向，为市民提供便捷可达、充足友好的游憩休闲空间。</w:t>
      </w:r>
    </w:p>
    <w:p w14:paraId="1427DF86">
      <w:pPr>
        <w:spacing w:line="596" w:lineRule="exact"/>
        <w:ind w:firstLine="640"/>
        <w:rPr>
          <w:rFonts w:cs="Times New Roman"/>
        </w:rPr>
      </w:pPr>
      <w:r>
        <w:rPr>
          <w:rFonts w:cs="Times New Roman"/>
        </w:rPr>
        <w:t>交通枢纽区：划分2处交通枢纽功能单元。以交通运输用地为主导用途，适当兼容仓储、商业服务业等功能，统筹好与周边交通线网的接驳以及多种运输方式的联乘联运。</w:t>
      </w:r>
    </w:p>
    <w:p w14:paraId="577A5A4D">
      <w:pPr>
        <w:pStyle w:val="47"/>
        <w:spacing w:before="0" w:beforeLines="0" w:line="596" w:lineRule="exact"/>
        <w:ind w:firstLine="640"/>
        <w:rPr>
          <w:b w:val="0"/>
        </w:rPr>
      </w:pPr>
      <w:bookmarkStart w:id="202" w:name="_Toc526"/>
      <w:bookmarkStart w:id="203" w:name="_Toc19254"/>
      <w:bookmarkStart w:id="204" w:name="_Toc32447"/>
      <w:r>
        <w:rPr>
          <w:b w:val="0"/>
        </w:rPr>
        <w:t>中心城区建设用地布局</w:t>
      </w:r>
      <w:bookmarkEnd w:id="202"/>
      <w:bookmarkEnd w:id="203"/>
      <w:bookmarkEnd w:id="204"/>
    </w:p>
    <w:p w14:paraId="741A3B48">
      <w:pPr>
        <w:spacing w:line="596" w:lineRule="exact"/>
        <w:ind w:firstLine="640"/>
        <w:rPr>
          <w:rFonts w:hint="eastAsia" w:cs="Times New Roman"/>
        </w:rPr>
      </w:pPr>
      <w:r>
        <w:rPr>
          <w:rFonts w:hint="eastAsia" w:cs="Times New Roman"/>
        </w:rPr>
        <w:t>优化土地资源配置。优先保障民生用地需求，重点保障产业用地、绿地与开敞空间用地，预控留白用地，服务城市产业发展和环境品质提升。</w:t>
      </w:r>
    </w:p>
    <w:p w14:paraId="2553B8A8">
      <w:pPr>
        <w:spacing w:line="596" w:lineRule="exact"/>
        <w:ind w:firstLine="640"/>
        <w:rPr>
          <w:rFonts w:cs="Times New Roman"/>
        </w:rPr>
      </w:pPr>
      <w:r>
        <w:rPr>
          <w:rFonts w:hint="eastAsia" w:cs="Times New Roman"/>
        </w:rPr>
        <w:t>中心</w:t>
      </w:r>
      <w:r>
        <w:rPr>
          <w:rFonts w:cs="Times New Roman"/>
        </w:rPr>
        <w:t>城区城镇建设用地，</w:t>
      </w:r>
      <w:r>
        <w:rPr>
          <w:rFonts w:hint="eastAsia" w:cs="Times New Roman"/>
        </w:rPr>
        <w:t>除强制性内容外，其他具体地块用途、边界定位、开发建设强度、用地兼容等规划管控要求在详细规划中确定。</w:t>
      </w:r>
    </w:p>
    <w:p w14:paraId="6C3BF443">
      <w:pPr>
        <w:pStyle w:val="3"/>
        <w:numPr>
          <w:ilvl w:val="0"/>
          <w:numId w:val="8"/>
        </w:numPr>
      </w:pPr>
      <w:bookmarkStart w:id="205" w:name="_Toc10006"/>
      <w:r>
        <w:t>提高城市品质与效率</w:t>
      </w:r>
      <w:bookmarkEnd w:id="199"/>
      <w:bookmarkEnd w:id="200"/>
      <w:bookmarkEnd w:id="201"/>
      <w:bookmarkEnd w:id="205"/>
    </w:p>
    <w:p w14:paraId="253FB6EC">
      <w:pPr>
        <w:pStyle w:val="47"/>
        <w:spacing w:before="0" w:beforeLines="0" w:line="596" w:lineRule="exact"/>
        <w:ind w:firstLine="640"/>
        <w:rPr>
          <w:b w:val="0"/>
        </w:rPr>
      </w:pPr>
      <w:bookmarkStart w:id="206" w:name="_Toc19011"/>
      <w:bookmarkStart w:id="207" w:name="_Toc23573"/>
      <w:r>
        <w:rPr>
          <w:b w:val="0"/>
        </w:rPr>
        <w:t>完善公共服务体系</w:t>
      </w:r>
      <w:bookmarkEnd w:id="206"/>
    </w:p>
    <w:p w14:paraId="050C47F1">
      <w:pPr>
        <w:spacing w:line="596" w:lineRule="exact"/>
        <w:ind w:firstLine="640"/>
        <w:rPr>
          <w:rFonts w:cs="Times New Roman"/>
        </w:rPr>
      </w:pPr>
      <w:r>
        <w:rPr>
          <w:rFonts w:cs="Times New Roman"/>
          <w:u w:val="none"/>
        </w:rPr>
        <w:t>结合城市空间结构、城市功能和生活圈布局，配置“县、片区、社区”三级公共设施体系</w:t>
      </w:r>
      <w:r>
        <w:rPr>
          <w:rFonts w:cs="Times New Roman"/>
        </w:rPr>
        <w:t>，形成“四核九心多点”的公共设施空间布局结构。</w:t>
      </w:r>
    </w:p>
    <w:p w14:paraId="3226F43A">
      <w:pPr>
        <w:spacing w:line="596" w:lineRule="exact"/>
        <w:ind w:firstLine="640"/>
        <w:rPr>
          <w:rFonts w:cs="Times New Roman"/>
        </w:rPr>
      </w:pPr>
      <w:r>
        <w:rPr>
          <w:rFonts w:cs="Times New Roman"/>
        </w:rPr>
        <w:t>四核：规划行政文化中心、老城传统服务中心、新城创新服务中心和产业发展服务中心4个县级服务核心。</w:t>
      </w:r>
    </w:p>
    <w:p w14:paraId="2802890D">
      <w:pPr>
        <w:spacing w:line="596" w:lineRule="exact"/>
        <w:ind w:firstLine="640"/>
        <w:rPr>
          <w:rFonts w:cs="Times New Roman"/>
        </w:rPr>
      </w:pPr>
      <w:r>
        <w:rPr>
          <w:rFonts w:cs="Times New Roman"/>
        </w:rPr>
        <w:t>九心：根据15分钟生活圈，打造9个片区级生活服务中心。</w:t>
      </w:r>
    </w:p>
    <w:p w14:paraId="1D82EF4A">
      <w:pPr>
        <w:spacing w:line="596" w:lineRule="exact"/>
        <w:ind w:firstLine="640"/>
        <w:rPr>
          <w:rFonts w:cs="Times New Roman"/>
        </w:rPr>
      </w:pPr>
      <w:r>
        <w:rPr>
          <w:rFonts w:cs="Times New Roman"/>
        </w:rPr>
        <w:t>多点：根据5-10分钟生活圈，打造多个社区生活服务中心。</w:t>
      </w:r>
      <w:bookmarkStart w:id="208" w:name="_Toc15469"/>
    </w:p>
    <w:p w14:paraId="7DAEA9C4">
      <w:pPr>
        <w:spacing w:line="596" w:lineRule="exact"/>
        <w:ind w:firstLine="640"/>
        <w:rPr>
          <w:rFonts w:cs="Times New Roman"/>
        </w:rPr>
      </w:pPr>
      <w:r>
        <w:rPr>
          <w:rFonts w:hint="eastAsia" w:cs="Times New Roman"/>
        </w:rPr>
        <w:t>行政</w:t>
      </w:r>
      <w:r>
        <w:rPr>
          <w:rFonts w:cs="Times New Roman"/>
        </w:rPr>
        <w:t>办公设施布局。规划兰阳河以北区域集中布局</w:t>
      </w:r>
      <w:r>
        <w:rPr>
          <w:rFonts w:hint="eastAsia" w:cs="Times New Roman"/>
        </w:rPr>
        <w:t>县级</w:t>
      </w:r>
      <w:r>
        <w:rPr>
          <w:rFonts w:cs="Times New Roman"/>
        </w:rPr>
        <w:t>行政办公设施，形成行政办公服务中心。</w:t>
      </w:r>
    </w:p>
    <w:p w14:paraId="4D6D9D02">
      <w:pPr>
        <w:spacing w:line="596" w:lineRule="exact"/>
        <w:ind w:firstLine="640"/>
        <w:rPr>
          <w:rFonts w:hint="eastAsia" w:cs="Times New Roman"/>
        </w:rPr>
      </w:pPr>
      <w:r>
        <w:rPr>
          <w:rFonts w:hint="eastAsia" w:cs="Times New Roman"/>
        </w:rPr>
        <w:t>文化</w:t>
      </w:r>
      <w:r>
        <w:rPr>
          <w:rFonts w:cs="Times New Roman"/>
        </w:rPr>
        <w:t>设施布局。</w:t>
      </w:r>
      <w:r>
        <w:rPr>
          <w:rFonts w:hint="eastAsia" w:cs="Times New Roman"/>
        </w:rPr>
        <w:t>规划</w:t>
      </w:r>
      <w:r>
        <w:rPr>
          <w:rFonts w:cs="Times New Roman"/>
        </w:rPr>
        <w:t>在兰阳河北侧集中布置包括</w:t>
      </w:r>
      <w:r>
        <w:rPr>
          <w:rFonts w:hint="eastAsia" w:cs="Times New Roman"/>
        </w:rPr>
        <w:t>文化馆</w:t>
      </w:r>
      <w:r>
        <w:rPr>
          <w:rFonts w:cs="Times New Roman"/>
        </w:rPr>
        <w:t>、图书馆、</w:t>
      </w:r>
      <w:r>
        <w:rPr>
          <w:rFonts w:hint="eastAsia" w:cs="Times New Roman"/>
        </w:rPr>
        <w:t>党史馆</w:t>
      </w:r>
      <w:r>
        <w:rPr>
          <w:rFonts w:cs="Times New Roman"/>
        </w:rPr>
        <w:t>、</w:t>
      </w:r>
      <w:r>
        <w:rPr>
          <w:rFonts w:hint="eastAsia" w:cs="Times New Roman"/>
        </w:rPr>
        <w:t>文化</w:t>
      </w:r>
      <w:r>
        <w:rPr>
          <w:rFonts w:cs="Times New Roman"/>
        </w:rPr>
        <w:t>交流中心、</w:t>
      </w:r>
      <w:r>
        <w:rPr>
          <w:rFonts w:hint="eastAsia" w:cs="Times New Roman"/>
        </w:rPr>
        <w:t>博物馆</w:t>
      </w:r>
      <w:r>
        <w:rPr>
          <w:rFonts w:cs="Times New Roman"/>
        </w:rPr>
        <w:t>等</w:t>
      </w:r>
      <w:r>
        <w:rPr>
          <w:rFonts w:hint="eastAsia" w:cs="Times New Roman"/>
        </w:rPr>
        <w:t>，</w:t>
      </w:r>
      <w:r>
        <w:rPr>
          <w:rFonts w:cs="Times New Roman"/>
        </w:rPr>
        <w:t>构建以文化交流</w:t>
      </w:r>
      <w:r>
        <w:rPr>
          <w:rFonts w:hint="eastAsia" w:cs="Times New Roman"/>
        </w:rPr>
        <w:t>为</w:t>
      </w:r>
      <w:r>
        <w:rPr>
          <w:rFonts w:cs="Times New Roman"/>
        </w:rPr>
        <w:t>核心的县级文化中心；在老城区内将原县委、县政府等行政办公单位改造为</w:t>
      </w:r>
      <w:r>
        <w:rPr>
          <w:rFonts w:hint="eastAsia" w:cs="Times New Roman"/>
        </w:rPr>
        <w:t>老年</w:t>
      </w:r>
      <w:r>
        <w:rPr>
          <w:rFonts w:cs="Times New Roman"/>
        </w:rPr>
        <w:t>活动中心、青少年活动中心、文化礼堂等相应的文化设施，</w:t>
      </w:r>
      <w:r>
        <w:rPr>
          <w:rFonts w:hint="eastAsia" w:cs="Times New Roman"/>
        </w:rPr>
        <w:t>打造</w:t>
      </w:r>
      <w:r>
        <w:rPr>
          <w:rFonts w:cs="Times New Roman"/>
        </w:rPr>
        <w:t>以文化服务为核心的县级文化中心。</w:t>
      </w:r>
      <w:r>
        <w:rPr>
          <w:rFonts w:hint="eastAsia" w:cs="Times New Roman"/>
        </w:rPr>
        <w:t>城镇社区级文化设施则</w:t>
      </w:r>
      <w:r>
        <w:rPr>
          <w:rFonts w:cs="Times New Roman"/>
        </w:rPr>
        <w:t>结合生活圈进行均衡布局，构建片区和社区级文化服务中心</w:t>
      </w:r>
      <w:r>
        <w:rPr>
          <w:rFonts w:hint="eastAsia" w:cs="Times New Roman"/>
        </w:rPr>
        <w:t>，</w:t>
      </w:r>
      <w:r>
        <w:rPr>
          <w:rFonts w:cs="Times New Roman"/>
        </w:rPr>
        <w:t>以满足居民日常文化娱乐需求。</w:t>
      </w:r>
      <w:r>
        <w:rPr>
          <w:rFonts w:hint="eastAsia" w:cs="Times New Roman"/>
        </w:rPr>
        <w:t>教育</w:t>
      </w:r>
      <w:r>
        <w:rPr>
          <w:rFonts w:cs="Times New Roman"/>
        </w:rPr>
        <w:t>设施布局</w:t>
      </w:r>
      <w:r>
        <w:rPr>
          <w:rFonts w:hint="eastAsia" w:cs="Times New Roman"/>
        </w:rPr>
        <w:t>。</w:t>
      </w:r>
      <w:r>
        <w:rPr>
          <w:rFonts w:cs="Times New Roman"/>
        </w:rPr>
        <w:t>积极落实教育强县和区域教育中心</w:t>
      </w:r>
      <w:r>
        <w:rPr>
          <w:rFonts w:hint="eastAsia" w:cs="Times New Roman"/>
        </w:rPr>
        <w:t>建设</w:t>
      </w:r>
      <w:r>
        <w:rPr>
          <w:rFonts w:cs="Times New Roman"/>
        </w:rPr>
        <w:t>战略</w:t>
      </w:r>
      <w:r>
        <w:rPr>
          <w:rFonts w:hint="eastAsia" w:cs="Times New Roman"/>
        </w:rPr>
        <w:t>，优化</w:t>
      </w:r>
      <w:r>
        <w:rPr>
          <w:rFonts w:cs="Times New Roman"/>
        </w:rPr>
        <w:t>基础教育</w:t>
      </w:r>
      <w:r>
        <w:rPr>
          <w:rFonts w:hint="eastAsia" w:cs="Times New Roman"/>
        </w:rPr>
        <w:t>设施</w:t>
      </w:r>
      <w:r>
        <w:rPr>
          <w:rFonts w:cs="Times New Roman"/>
        </w:rPr>
        <w:t>，</w:t>
      </w:r>
      <w:r>
        <w:rPr>
          <w:rFonts w:hint="eastAsia" w:cs="Times New Roman"/>
        </w:rPr>
        <w:t>完善</w:t>
      </w:r>
      <w:r>
        <w:rPr>
          <w:rFonts w:cs="Times New Roman"/>
        </w:rPr>
        <w:t>职业教育设施，</w:t>
      </w:r>
      <w:r>
        <w:rPr>
          <w:rFonts w:hint="eastAsia" w:cs="Times New Roman"/>
        </w:rPr>
        <w:t>强化</w:t>
      </w:r>
      <w:r>
        <w:rPr>
          <w:rFonts w:cs="Times New Roman"/>
        </w:rPr>
        <w:t>科研及高等教育设施</w:t>
      </w:r>
      <w:r>
        <w:rPr>
          <w:rFonts w:hint="eastAsia" w:cs="Times New Roman"/>
        </w:rPr>
        <w:t>。</w:t>
      </w:r>
    </w:p>
    <w:p w14:paraId="48D9C1FD">
      <w:pPr>
        <w:spacing w:line="596" w:lineRule="exact"/>
        <w:ind w:firstLine="640"/>
        <w:rPr>
          <w:rFonts w:hint="eastAsia" w:cs="Times New Roman"/>
        </w:rPr>
      </w:pPr>
      <w:r>
        <w:rPr>
          <w:rFonts w:cs="Times New Roman"/>
        </w:rPr>
        <w:t>体育设施</w:t>
      </w:r>
      <w:r>
        <w:rPr>
          <w:rFonts w:hint="eastAsia" w:cs="Times New Roman"/>
        </w:rPr>
        <w:t>布局</w:t>
      </w:r>
      <w:r>
        <w:rPr>
          <w:rFonts w:cs="Times New Roman"/>
        </w:rPr>
        <w:t>。</w:t>
      </w:r>
      <w:r>
        <w:rPr>
          <w:rFonts w:hint="eastAsia" w:cs="Times New Roman"/>
        </w:rPr>
        <w:t>加强</w:t>
      </w:r>
      <w:r>
        <w:rPr>
          <w:rFonts w:cs="Times New Roman"/>
        </w:rPr>
        <w:t>居住区配套体育</w:t>
      </w:r>
      <w:r>
        <w:rPr>
          <w:rFonts w:hint="eastAsia" w:cs="Times New Roman"/>
        </w:rPr>
        <w:t>设施</w:t>
      </w:r>
      <w:r>
        <w:rPr>
          <w:rFonts w:cs="Times New Roman"/>
        </w:rPr>
        <w:t>建设，结合居住区绿地设置社区级综合体育活动中心，为居民提供多种体育活动场所</w:t>
      </w:r>
      <w:r>
        <w:rPr>
          <w:rFonts w:hint="eastAsia" w:cs="Times New Roman"/>
        </w:rPr>
        <w:t>。</w:t>
      </w:r>
    </w:p>
    <w:p w14:paraId="17ABDDDA">
      <w:pPr>
        <w:spacing w:line="596" w:lineRule="exact"/>
        <w:ind w:firstLine="640"/>
        <w:rPr>
          <w:rFonts w:hint="eastAsia" w:eastAsia="仿宋_GB2312" w:cs="Times New Roman"/>
          <w:lang w:eastAsia="zh-CN"/>
        </w:rPr>
      </w:pPr>
      <w:r>
        <w:rPr>
          <w:rFonts w:cs="Times New Roman"/>
        </w:rPr>
        <w:t>医疗</w:t>
      </w:r>
      <w:r>
        <w:rPr>
          <w:rFonts w:hint="eastAsia" w:cs="Times New Roman"/>
        </w:rPr>
        <w:t>卫生</w:t>
      </w:r>
      <w:r>
        <w:rPr>
          <w:rFonts w:cs="Times New Roman"/>
        </w:rPr>
        <w:t>设施</w:t>
      </w:r>
      <w:r>
        <w:rPr>
          <w:rFonts w:hint="eastAsia" w:cs="Times New Roman"/>
        </w:rPr>
        <w:t>布局</w:t>
      </w:r>
      <w:r>
        <w:rPr>
          <w:rFonts w:cs="Times New Roman"/>
        </w:rPr>
        <w:t>。</w:t>
      </w:r>
      <w:r>
        <w:rPr>
          <w:rFonts w:hint="eastAsia" w:cs="Times New Roman"/>
        </w:rPr>
        <w:t>规划新建中心医院、疾控中心、康宁医院、眼病医院等医疗卫生设施，建立以现代化大型综合医院为核心、专业医院为辅助、社区医疗服务网络为基础的县、街道、社区三级卫生医疗系统和</w:t>
      </w:r>
      <w:r>
        <w:rPr>
          <w:rFonts w:cs="Times New Roman"/>
        </w:rPr>
        <w:t>区域性医疗卫生中心</w:t>
      </w:r>
      <w:r>
        <w:rPr>
          <w:rFonts w:hint="eastAsia" w:cs="Times New Roman"/>
          <w:lang w:eastAsia="zh-CN"/>
        </w:rPr>
        <w:t>。</w:t>
      </w:r>
    </w:p>
    <w:p w14:paraId="726C6C51">
      <w:pPr>
        <w:spacing w:line="596" w:lineRule="exact"/>
        <w:ind w:firstLine="640"/>
        <w:rPr>
          <w:rFonts w:cs="Times New Roman"/>
        </w:rPr>
      </w:pPr>
      <w:r>
        <w:rPr>
          <w:rFonts w:cs="Times New Roman"/>
        </w:rPr>
        <w:t>社会福利设施</w:t>
      </w:r>
      <w:r>
        <w:rPr>
          <w:rFonts w:hint="eastAsia" w:cs="Times New Roman"/>
        </w:rPr>
        <w:t>布局</w:t>
      </w:r>
      <w:r>
        <w:rPr>
          <w:rFonts w:cs="Times New Roman"/>
        </w:rPr>
        <w:t>。</w:t>
      </w:r>
      <w:r>
        <w:rPr>
          <w:rFonts w:hint="eastAsia" w:cs="Times New Roman"/>
        </w:rPr>
        <w:t>规划保留现状社会福利设施</w:t>
      </w:r>
      <w:r>
        <w:rPr>
          <w:rFonts w:hint="eastAsia" w:cs="Times New Roman"/>
          <w:lang w:eastAsia="zh-CN"/>
        </w:rPr>
        <w:t>，</w:t>
      </w:r>
      <w:r>
        <w:rPr>
          <w:rFonts w:cs="Times New Roman"/>
        </w:rPr>
        <w:t>依托新中医院建设医养结合服务中心，依托妇幼保健院成立托育服务中心</w:t>
      </w:r>
      <w:r>
        <w:rPr>
          <w:rFonts w:hint="eastAsia" w:cs="Times New Roman"/>
        </w:rPr>
        <w:t>；</w:t>
      </w:r>
      <w:r>
        <w:rPr>
          <w:rFonts w:cs="Times New Roman"/>
        </w:rPr>
        <w:t>加强养老院</w:t>
      </w:r>
      <w:r>
        <w:rPr>
          <w:rFonts w:hint="eastAsia" w:cs="Times New Roman"/>
        </w:rPr>
        <w:t>、</w:t>
      </w:r>
      <w:r>
        <w:rPr>
          <w:rFonts w:cs="Times New Roman"/>
        </w:rPr>
        <w:t>老年养护院以及日间照料中心的建设，</w:t>
      </w:r>
      <w:r>
        <w:rPr>
          <w:rFonts w:hint="eastAsia" w:cs="Times New Roman"/>
        </w:rPr>
        <w:t>形成以社会福利院、养老院等为主的社会保障设施体系。</w:t>
      </w:r>
    </w:p>
    <w:bookmarkEnd w:id="208"/>
    <w:p w14:paraId="763BB779">
      <w:pPr>
        <w:pStyle w:val="47"/>
        <w:spacing w:before="0" w:beforeLines="0" w:line="596" w:lineRule="exact"/>
        <w:ind w:firstLine="640"/>
        <w:rPr>
          <w:b w:val="0"/>
        </w:rPr>
      </w:pPr>
      <w:bookmarkStart w:id="209" w:name="_Toc30013"/>
      <w:r>
        <w:rPr>
          <w:b w:val="0"/>
        </w:rPr>
        <w:t>加强城区住房保障</w:t>
      </w:r>
      <w:bookmarkEnd w:id="209"/>
    </w:p>
    <w:p w14:paraId="63126BE3">
      <w:pPr>
        <w:spacing w:line="596" w:lineRule="exact"/>
        <w:ind w:firstLine="640"/>
        <w:rPr>
          <w:rFonts w:cs="Times New Roman"/>
        </w:rPr>
      </w:pPr>
      <w:bookmarkStart w:id="210" w:name="_Toc15246"/>
      <w:bookmarkStart w:id="211" w:name="_Toc23794"/>
      <w:bookmarkStart w:id="212" w:name="_Toc9875"/>
      <w:bookmarkStart w:id="213" w:name="_Toc23505"/>
      <w:r>
        <w:rPr>
          <w:rFonts w:cs="Times New Roman"/>
        </w:rPr>
        <w:t>优化住房保障规模和供应结构，加快建立多主体供给、多渠道保障、租购并举的住房供应体系</w:t>
      </w:r>
      <w:r>
        <w:rPr>
          <w:rFonts w:hint="eastAsia" w:cs="Times New Roman"/>
        </w:rPr>
        <w:t>。</w:t>
      </w:r>
      <w:r>
        <w:rPr>
          <w:rFonts w:cs="Times New Roman"/>
        </w:rPr>
        <w:t>建成区内基本完成现有</w:t>
      </w:r>
      <w:r>
        <w:rPr>
          <w:rFonts w:hint="eastAsia" w:cs="Times New Roman"/>
        </w:rPr>
        <w:t>老旧小区、</w:t>
      </w:r>
      <w:r>
        <w:rPr>
          <w:rFonts w:cs="Times New Roman"/>
        </w:rPr>
        <w:t>城中村改造</w:t>
      </w:r>
      <w:r>
        <w:rPr>
          <w:rFonts w:hint="eastAsia" w:cs="Times New Roman"/>
        </w:rPr>
        <w:t>和</w:t>
      </w:r>
      <w:r>
        <w:rPr>
          <w:rFonts w:cs="Times New Roman"/>
        </w:rPr>
        <w:t>环境综合整治，全面达到宜居健康城市标准。</w:t>
      </w:r>
    </w:p>
    <w:p w14:paraId="4BDA0206">
      <w:pPr>
        <w:spacing w:line="596" w:lineRule="exact"/>
        <w:ind w:firstLine="640"/>
        <w:rPr>
          <w:rFonts w:cs="Times New Roman"/>
        </w:rPr>
      </w:pPr>
      <w:r>
        <w:rPr>
          <w:rFonts w:cs="Times New Roman"/>
        </w:rPr>
        <w:t>加快完善公租房、保障性租赁住房和共有产权住房为主体的住房保障体系。</w:t>
      </w:r>
      <w:r>
        <w:rPr>
          <w:rFonts w:hint="eastAsia" w:cs="Times New Roman"/>
        </w:rPr>
        <w:t>保障性</w:t>
      </w:r>
      <w:r>
        <w:rPr>
          <w:rFonts w:cs="Times New Roman"/>
        </w:rPr>
        <w:t>住房</w:t>
      </w:r>
      <w:r>
        <w:rPr>
          <w:rFonts w:hint="eastAsia" w:cs="Times New Roman"/>
        </w:rPr>
        <w:t>应优先选择环境适宜、公共交通便捷、生活设施便利、地质条件安全、公共服务设施及市政配套设施完善的区域；</w:t>
      </w:r>
      <w:r>
        <w:rPr>
          <w:rFonts w:cs="Times New Roman"/>
        </w:rPr>
        <w:t>采取“大分散、小集中”的布局模式，</w:t>
      </w:r>
      <w:r>
        <w:rPr>
          <w:rFonts w:hint="eastAsia" w:cs="Times New Roman"/>
        </w:rPr>
        <w:t>实现保障性住房布局的空间相对均衡。</w:t>
      </w:r>
    </w:p>
    <w:p w14:paraId="5B2287BA">
      <w:pPr>
        <w:pStyle w:val="47"/>
        <w:spacing w:before="0" w:beforeLines="0" w:line="596" w:lineRule="exact"/>
        <w:ind w:firstLine="640"/>
        <w:rPr>
          <w:b w:val="0"/>
        </w:rPr>
      </w:pPr>
      <w:r>
        <w:rPr>
          <w:b w:val="0"/>
        </w:rPr>
        <w:t>完善生活圈配套</w:t>
      </w:r>
      <w:bookmarkEnd w:id="210"/>
    </w:p>
    <w:p w14:paraId="68BF2E2F">
      <w:pPr>
        <w:spacing w:line="596" w:lineRule="exact"/>
        <w:ind w:firstLine="640"/>
        <w:rPr>
          <w:rFonts w:cs="Times New Roman"/>
          <w:szCs w:val="32"/>
        </w:rPr>
      </w:pPr>
      <w:r>
        <w:rPr>
          <w:rFonts w:cs="Times New Roman"/>
          <w:szCs w:val="40"/>
        </w:rPr>
        <w:t>构建中心城区“15分钟、5-10分钟”两个层级社区生活圈，按级别配置生活圈服务要素，打造15分钟生活圈综合性的片区服务中心和5-10分钟生活圈友好实用型社区服务中心。</w:t>
      </w:r>
    </w:p>
    <w:p w14:paraId="1D33EDE8">
      <w:pPr>
        <w:pStyle w:val="47"/>
        <w:spacing w:before="0" w:beforeLines="0" w:line="596" w:lineRule="exact"/>
        <w:ind w:firstLine="640"/>
        <w:rPr>
          <w:b w:val="0"/>
        </w:rPr>
      </w:pPr>
      <w:r>
        <w:rPr>
          <w:b w:val="0"/>
        </w:rPr>
        <w:t>营造高品质蓝绿空间</w:t>
      </w:r>
      <w:bookmarkEnd w:id="211"/>
      <w:bookmarkEnd w:id="212"/>
      <w:bookmarkEnd w:id="213"/>
    </w:p>
    <w:p w14:paraId="691EB133">
      <w:pPr>
        <w:spacing w:line="596" w:lineRule="exact"/>
        <w:ind w:firstLine="640"/>
        <w:rPr>
          <w:rFonts w:cs="Times New Roman"/>
        </w:rPr>
      </w:pPr>
      <w:bookmarkStart w:id="214" w:name="_Toc16583"/>
      <w:bookmarkStart w:id="215" w:name="_Toc1681"/>
      <w:bookmarkStart w:id="216" w:name="_Toc1909"/>
      <w:r>
        <w:rPr>
          <w:rFonts w:cs="Times New Roman"/>
        </w:rPr>
        <w:t>规划形成“两带、八湖、十二脉”的蓝绿空间网络格局。“两带”即兰阳河滨河生态绿带、陇海铁路生态防护绿带，“八湖”指金牛湖、金花湖、金沙湖、南湖、兰阳湖、青莲湖、凤鸣湖、青阳湖8个湖泊，“十二脉”为兰阳河、汶水河、饮泉河、福泉河、浚仪河、四干渠、迎宾河、青阳河、清涧河、东城河、金兰河、五干二支渠12条水系。</w:t>
      </w:r>
    </w:p>
    <w:p w14:paraId="2E95B0FB">
      <w:pPr>
        <w:spacing w:line="596" w:lineRule="exact"/>
        <w:ind w:firstLine="640"/>
        <w:rPr>
          <w:rFonts w:cs="Times New Roman"/>
        </w:rPr>
      </w:pPr>
      <w:r>
        <w:rPr>
          <w:rFonts w:cs="Times New Roman"/>
        </w:rPr>
        <w:t>规划中心城区由公园绿地、防护绿地、广场用地等构成的多元发展的绿地系统。</w:t>
      </w:r>
    </w:p>
    <w:p w14:paraId="0B9155D7">
      <w:pPr>
        <w:spacing w:line="596" w:lineRule="exact"/>
        <w:ind w:firstLine="640"/>
        <w:rPr>
          <w:rFonts w:cs="Times New Roman"/>
        </w:rPr>
      </w:pPr>
      <w:r>
        <w:rPr>
          <w:rFonts w:cs="Times New Roman"/>
        </w:rPr>
        <w:t>按照“300米见绿，500米见园”标准，均衡布局公园绿地，建立综合公园、专类公园、社区公园和游园构成的多类型多层级的公园绿地系统。规划布置2处县级综合公园、7处区域性综合公园、8处专类公园、16处社区公园以及多处游园，游园以沿路及滨河带状游园为主体，以点状街头游园为补充。</w:t>
      </w:r>
    </w:p>
    <w:p w14:paraId="1F688F8F">
      <w:pPr>
        <w:spacing w:line="596" w:lineRule="exact"/>
        <w:ind w:firstLine="640"/>
        <w:rPr>
          <w:rFonts w:cs="Times New Roman"/>
        </w:rPr>
      </w:pPr>
      <w:r>
        <w:rPr>
          <w:rFonts w:cs="Times New Roman"/>
        </w:rPr>
        <w:t>规划防护绿地主要包括道路防护绿地、工业卫生防护绿地、铁路防护绿地及高压走廊防护绿地等。</w:t>
      </w:r>
    </w:p>
    <w:p w14:paraId="00460404">
      <w:pPr>
        <w:spacing w:line="596" w:lineRule="exact"/>
        <w:ind w:firstLine="640"/>
        <w:rPr>
          <w:rFonts w:cs="Times New Roman"/>
        </w:rPr>
      </w:pPr>
      <w:r>
        <w:rPr>
          <w:rFonts w:cs="Times New Roman"/>
        </w:rPr>
        <w:t>规划广场用地为现状人民广场、</w:t>
      </w:r>
      <w:r>
        <w:rPr>
          <w:rFonts w:hint="eastAsia" w:cs="Times New Roman"/>
        </w:rPr>
        <w:t>兰考</w:t>
      </w:r>
      <w:r>
        <w:rPr>
          <w:rFonts w:cs="Times New Roman"/>
        </w:rPr>
        <w:t>站广场和兰考南站广场。</w:t>
      </w:r>
    </w:p>
    <w:p w14:paraId="1233A736">
      <w:pPr>
        <w:spacing w:line="596" w:lineRule="exact"/>
        <w:ind w:firstLine="640"/>
        <w:rPr>
          <w:rFonts w:cs="Times New Roman"/>
        </w:rPr>
      </w:pPr>
      <w:r>
        <w:rPr>
          <w:rFonts w:hint="eastAsia" w:cs="Times New Roman"/>
        </w:rPr>
        <w:t>依托中心</w:t>
      </w:r>
      <w:r>
        <w:rPr>
          <w:rFonts w:cs="Times New Roman"/>
        </w:rPr>
        <w:t>城区主要交通干道、</w:t>
      </w:r>
      <w:r>
        <w:rPr>
          <w:rFonts w:hint="eastAsia" w:cs="Times New Roman"/>
        </w:rPr>
        <w:t>河流</w:t>
      </w:r>
      <w:r>
        <w:rPr>
          <w:rFonts w:cs="Times New Roman"/>
        </w:rPr>
        <w:t>、绿带、</w:t>
      </w:r>
      <w:r>
        <w:rPr>
          <w:rFonts w:hint="eastAsia" w:cs="Times New Roman"/>
        </w:rPr>
        <w:t>城区</w:t>
      </w:r>
      <w:r>
        <w:rPr>
          <w:rFonts w:cs="Times New Roman"/>
        </w:rPr>
        <w:t>周边空旷地作为</w:t>
      </w:r>
      <w:r>
        <w:rPr>
          <w:rFonts w:hint="eastAsia" w:cs="Times New Roman"/>
        </w:rPr>
        <w:t>通风</w:t>
      </w:r>
      <w:r>
        <w:rPr>
          <w:rFonts w:cs="Times New Roman"/>
        </w:rPr>
        <w:t>廊道，</w:t>
      </w:r>
      <w:r>
        <w:rPr>
          <w:rFonts w:hint="eastAsia" w:cs="Times New Roman"/>
        </w:rPr>
        <w:t>构建</w:t>
      </w:r>
      <w:r>
        <w:rPr>
          <w:rFonts w:cs="Times New Roman"/>
        </w:rPr>
        <w:t>“</w:t>
      </w:r>
      <w:r>
        <w:rPr>
          <w:rFonts w:hint="eastAsia" w:cs="Times New Roman"/>
        </w:rPr>
        <w:t>5</w:t>
      </w:r>
      <w:r>
        <w:rPr>
          <w:rFonts w:cs="Times New Roman"/>
        </w:rPr>
        <w:t>+3+6”</w:t>
      </w:r>
      <w:r>
        <w:rPr>
          <w:rFonts w:hint="eastAsia" w:cs="Times New Roman"/>
        </w:rPr>
        <w:t>的城市</w:t>
      </w:r>
      <w:r>
        <w:rPr>
          <w:rFonts w:cs="Times New Roman"/>
        </w:rPr>
        <w:t>通风廊道体系，即泡桐森林公园、金花</w:t>
      </w:r>
      <w:r>
        <w:rPr>
          <w:rFonts w:hint="eastAsia" w:cs="Times New Roman"/>
        </w:rPr>
        <w:t>湖群</w:t>
      </w:r>
      <w:r>
        <w:rPr>
          <w:rFonts w:cs="Times New Roman"/>
        </w:rPr>
        <w:t>、</w:t>
      </w:r>
      <w:r>
        <w:rPr>
          <w:rFonts w:hint="eastAsia" w:cs="Times New Roman"/>
        </w:rPr>
        <w:t>凤鸣湖</w:t>
      </w:r>
      <w:r>
        <w:rPr>
          <w:rFonts w:cs="Times New Roman"/>
        </w:rPr>
        <w:t>公园</w:t>
      </w:r>
      <w:r>
        <w:rPr>
          <w:rFonts w:hint="eastAsia" w:cs="Times New Roman"/>
        </w:rPr>
        <w:t>、</w:t>
      </w:r>
      <w:r>
        <w:rPr>
          <w:rFonts w:cs="Times New Roman"/>
        </w:rPr>
        <w:t>清莲湖</w:t>
      </w:r>
      <w:r>
        <w:rPr>
          <w:rFonts w:hint="eastAsia" w:cs="Times New Roman"/>
        </w:rPr>
        <w:t>公园、城市</w:t>
      </w:r>
      <w:r>
        <w:rPr>
          <w:rFonts w:cs="Times New Roman"/>
        </w:rPr>
        <w:t>之林</w:t>
      </w:r>
      <w:r>
        <w:rPr>
          <w:rFonts w:hint="eastAsia" w:cs="Times New Roman"/>
        </w:rPr>
        <w:t>5个</w:t>
      </w:r>
      <w:r>
        <w:rPr>
          <w:rFonts w:cs="Times New Roman"/>
        </w:rPr>
        <w:t>通风口地区，</w:t>
      </w:r>
      <w:r>
        <w:rPr>
          <w:rFonts w:hint="eastAsia" w:cs="Times New Roman"/>
        </w:rPr>
        <w:t>济阳大道、兰阳河生态绿带、陇海铁路防护绿带3条主</w:t>
      </w:r>
      <w:r>
        <w:rPr>
          <w:rFonts w:cs="Times New Roman"/>
        </w:rPr>
        <w:t>通风廊道，</w:t>
      </w:r>
      <w:r>
        <w:rPr>
          <w:rFonts w:hint="eastAsia" w:cs="Times New Roman"/>
        </w:rPr>
        <w:t>西环路</w:t>
      </w:r>
      <w:r>
        <w:rPr>
          <w:rFonts w:cs="Times New Roman"/>
        </w:rPr>
        <w:t>、</w:t>
      </w:r>
      <w:r>
        <w:rPr>
          <w:rFonts w:hint="eastAsia" w:cs="Times New Roman"/>
        </w:rPr>
        <w:t>朝阳大道、黄河大道、迎宾大道</w:t>
      </w:r>
      <w:r>
        <w:rPr>
          <w:rFonts w:cs="Times New Roman"/>
        </w:rPr>
        <w:t>、</w:t>
      </w:r>
      <w:r>
        <w:rPr>
          <w:rFonts w:hint="eastAsia" w:cs="Times New Roman"/>
        </w:rPr>
        <w:t>学院街、东泰街</w:t>
      </w:r>
      <w:r>
        <w:rPr>
          <w:rFonts w:cs="Times New Roman"/>
        </w:rPr>
        <w:t>6</w:t>
      </w:r>
      <w:r>
        <w:rPr>
          <w:rFonts w:hint="eastAsia" w:cs="Times New Roman"/>
        </w:rPr>
        <w:t>条次级</w:t>
      </w:r>
      <w:r>
        <w:rPr>
          <w:rFonts w:cs="Times New Roman"/>
        </w:rPr>
        <w:t>通风廊道。</w:t>
      </w:r>
      <w:r>
        <w:rPr>
          <w:rFonts w:hint="eastAsia" w:cs="Times New Roman"/>
        </w:rPr>
        <w:t>结合</w:t>
      </w:r>
      <w:r>
        <w:rPr>
          <w:rFonts w:cs="Times New Roman"/>
        </w:rPr>
        <w:t>兰考县实际情况，主通风廊道宽度控制</w:t>
      </w:r>
      <w:r>
        <w:rPr>
          <w:rFonts w:hint="eastAsia" w:cs="Times New Roman"/>
        </w:rPr>
        <w:t>总体上不小于1</w:t>
      </w:r>
      <w:r>
        <w:rPr>
          <w:rFonts w:cs="Times New Roman"/>
        </w:rPr>
        <w:t>5</w:t>
      </w:r>
      <w:r>
        <w:rPr>
          <w:rFonts w:hint="eastAsia" w:cs="Times New Roman"/>
        </w:rPr>
        <w:t>0米、次级通风廊道宽度控制</w:t>
      </w:r>
      <w:r>
        <w:rPr>
          <w:rFonts w:cs="Times New Roman"/>
        </w:rPr>
        <w:t>不小于50</w:t>
      </w:r>
      <w:r>
        <w:rPr>
          <w:rFonts w:hint="eastAsia" w:cs="Times New Roman"/>
        </w:rPr>
        <w:t>米。</w:t>
      </w:r>
    </w:p>
    <w:p w14:paraId="4ADA662C">
      <w:pPr>
        <w:pStyle w:val="47"/>
        <w:spacing w:before="0" w:beforeLines="0" w:line="596" w:lineRule="exact"/>
        <w:ind w:firstLine="640"/>
        <w:rPr>
          <w:b w:val="0"/>
        </w:rPr>
      </w:pPr>
      <w:r>
        <w:rPr>
          <w:b w:val="0"/>
        </w:rPr>
        <w:t>推动城市有机更新</w:t>
      </w:r>
      <w:bookmarkEnd w:id="214"/>
      <w:bookmarkEnd w:id="215"/>
      <w:bookmarkEnd w:id="216"/>
    </w:p>
    <w:p w14:paraId="205628D4">
      <w:pPr>
        <w:spacing w:line="596" w:lineRule="exact"/>
        <w:ind w:firstLine="640"/>
        <w:rPr>
          <w:rFonts w:cs="Times New Roman"/>
        </w:rPr>
      </w:pPr>
      <w:bookmarkStart w:id="217" w:name="_Toc8678"/>
      <w:r>
        <w:rPr>
          <w:rFonts w:hint="eastAsia" w:cs="Times New Roman"/>
        </w:rPr>
        <w:t>将实施城市更新行动作为推动城市高质量发展的重大战略举措，根据城市体检评估，通过综合整治、功能完善、历史文化保护、生态修复以及全面改造等城市更新方式推动城市有机更新，全面提升兰考县中心城区的综合发展能力、可持续发展能力、产业发展动力、城市宜居活力、防灾抗灾能力，增强城市韧性，实现城市高质量发展。积极探索政府引导、市场运作、公众参与的城市更新可持续模式；注重改造活化既有建筑，防止大拆大建。</w:t>
      </w:r>
    </w:p>
    <w:p w14:paraId="197DB139">
      <w:pPr>
        <w:spacing w:line="596" w:lineRule="exact"/>
        <w:ind w:firstLine="640"/>
        <w:rPr>
          <w:rFonts w:cs="Times New Roman"/>
        </w:rPr>
      </w:pPr>
      <w:r>
        <w:rPr>
          <w:rFonts w:cs="Times New Roman"/>
        </w:rPr>
        <w:t>规划采用“更新重点片区</w:t>
      </w:r>
      <w:r>
        <w:rPr>
          <w:rFonts w:hint="eastAsia" w:cs="Times New Roman"/>
        </w:rPr>
        <w:t>-</w:t>
      </w:r>
      <w:r>
        <w:rPr>
          <w:rFonts w:cs="Times New Roman"/>
        </w:rPr>
        <w:t>更新管控单元”两级管控的策略划定本次规划的重点更新区范围。本次规划共划定4个更新重点片区，包括油田更新区、老城更新区、产业更新区、陇海站周边更新区；结合各片区功能定位和发展现状，以老旧小区、老旧街区、老旧厂区、城中村、历史文化资源保护区</w:t>
      </w:r>
      <w:r>
        <w:rPr>
          <w:rFonts w:hint="eastAsia" w:cs="Times New Roman"/>
        </w:rPr>
        <w:t>、城市基础设施</w:t>
      </w:r>
      <w:r>
        <w:rPr>
          <w:rFonts w:cs="Times New Roman"/>
        </w:rPr>
        <w:t>为重点更新对象，因地制宜划定城市更新管控单元。</w:t>
      </w:r>
    </w:p>
    <w:p w14:paraId="5E034B79">
      <w:pPr>
        <w:spacing w:line="596" w:lineRule="exact"/>
        <w:ind w:firstLine="640"/>
        <w:rPr>
          <w:rFonts w:cs="Times New Roman"/>
        </w:rPr>
      </w:pPr>
      <w:r>
        <w:rPr>
          <w:rFonts w:cs="Times New Roman"/>
        </w:rPr>
        <w:t>根据</w:t>
      </w:r>
      <w:r>
        <w:rPr>
          <w:rFonts w:hint="eastAsia" w:cs="Times New Roman"/>
        </w:rPr>
        <w:t>兰考县</w:t>
      </w:r>
      <w:r>
        <w:rPr>
          <w:rFonts w:cs="Times New Roman"/>
        </w:rPr>
        <w:t>城市发展战略和现状建设情况，规划近期统筹推动更新重点片区内各管控单元的城市更新改造，发挥示范带动作用；其余更新单元于规划期内有序完成，最终实现城市的高质量发展。</w:t>
      </w:r>
    </w:p>
    <w:p w14:paraId="399B62C1">
      <w:pPr>
        <w:pStyle w:val="90"/>
      </w:pPr>
      <w:r>
        <w:t>按照先基础、后完善、再提升的原则，对老旧小区进行更新改造，提升老旧小区综合治理能力。采取全面改造、综合整治等多种方式，对棚户区进行更新改造，促进棚改区域人居环境品质得到改善和提升。</w:t>
      </w:r>
    </w:p>
    <w:p w14:paraId="42FF0523">
      <w:pPr>
        <w:pStyle w:val="90"/>
      </w:pPr>
      <w:r>
        <w:t>按照全面改造为主、综合整治为辅的原则</w:t>
      </w:r>
      <w:r>
        <w:rPr>
          <w:rFonts w:hint="eastAsia"/>
          <w:lang w:val="en-US" w:eastAsia="zh-CN"/>
        </w:rPr>
        <w:t>对村庄</w:t>
      </w:r>
      <w:r>
        <w:t>进行改造，提高城市化建设质量。</w:t>
      </w:r>
    </w:p>
    <w:p w14:paraId="1BBD6067">
      <w:pPr>
        <w:pStyle w:val="90"/>
      </w:pPr>
      <w:r>
        <w:t>采取全面改造、综合整治、功能改善等方式</w:t>
      </w:r>
      <w:r>
        <w:rPr>
          <w:rFonts w:hint="eastAsia"/>
        </w:rPr>
        <w:t>，</w:t>
      </w:r>
      <w:r>
        <w:t>对老旧厂</w:t>
      </w:r>
      <w:r>
        <w:rPr>
          <w:rFonts w:hint="eastAsia"/>
        </w:rPr>
        <w:t>房</w:t>
      </w:r>
      <w:r>
        <w:t>、低效闲置工业用地，重点推进产业“退二优二”及产业转型升级，为产业发展、公共服务建设等提供优质物质空间。</w:t>
      </w:r>
    </w:p>
    <w:p w14:paraId="5462C587">
      <w:pPr>
        <w:pStyle w:val="90"/>
      </w:pPr>
      <w:r>
        <w:t>更新改造兰阳河南侧区域、四干渠、清涧河、东城河等城区滨水空间，丰富滨水空间功能，提升城市开敞空间使用效率。</w:t>
      </w:r>
    </w:p>
    <w:p w14:paraId="74BABB0A">
      <w:pPr>
        <w:pStyle w:val="90"/>
      </w:pPr>
      <w:r>
        <w:t>加强以焦裕禄陵园为核心的历史文化资源及周边区域的更新，充分挖掘和保护各类历史文化资源，切实保护能够体现城市特定发展阶段、反映重要历史事件、凝聚社会公众情感记忆的既有建筑。</w:t>
      </w:r>
    </w:p>
    <w:p w14:paraId="41AB0222">
      <w:pPr>
        <w:pStyle w:val="90"/>
      </w:pPr>
      <w:r>
        <w:t>加强次支路网</w:t>
      </w:r>
      <w:r>
        <w:rPr>
          <w:rFonts w:hint="eastAsia"/>
        </w:rPr>
        <w:t>、</w:t>
      </w:r>
      <w:r>
        <w:t>断头路</w:t>
      </w:r>
      <w:r>
        <w:rPr>
          <w:rFonts w:hint="eastAsia"/>
        </w:rPr>
        <w:t>、</w:t>
      </w:r>
      <w:r>
        <w:t>道路拥堵节点</w:t>
      </w:r>
      <w:r>
        <w:rPr>
          <w:rFonts w:hint="eastAsia"/>
        </w:rPr>
        <w:t>及市政设施、管线综合改造与提升；补足老旧小区配套设施短板，提升住区品质与安全；完善城市生命线系统，提升城市防灾减灾能力，增强城市韧性。</w:t>
      </w:r>
    </w:p>
    <w:p w14:paraId="1AAD8C93">
      <w:pPr>
        <w:pStyle w:val="3"/>
        <w:numPr>
          <w:ilvl w:val="0"/>
          <w:numId w:val="8"/>
        </w:numPr>
      </w:pPr>
      <w:bookmarkStart w:id="218" w:name="_Toc20147"/>
      <w:r>
        <w:t>构建绿色高效城市交通</w:t>
      </w:r>
      <w:bookmarkEnd w:id="217"/>
      <w:bookmarkEnd w:id="218"/>
    </w:p>
    <w:p w14:paraId="5120E6E0">
      <w:pPr>
        <w:pStyle w:val="47"/>
        <w:spacing w:before="0" w:beforeLines="0" w:line="596" w:lineRule="exact"/>
        <w:ind w:firstLine="640"/>
        <w:rPr>
          <w:b w:val="0"/>
        </w:rPr>
      </w:pPr>
      <w:r>
        <w:rPr>
          <w:b w:val="0"/>
        </w:rPr>
        <w:t>城市路网系统</w:t>
      </w:r>
    </w:p>
    <w:p w14:paraId="02CF30E2">
      <w:pPr>
        <w:spacing w:line="596" w:lineRule="exact"/>
        <w:ind w:firstLine="640"/>
        <w:rPr>
          <w:rFonts w:cs="Times New Roman"/>
        </w:rPr>
      </w:pPr>
      <w:r>
        <w:rPr>
          <w:rFonts w:cs="Times New Roman"/>
          <w:u w:val="none"/>
        </w:rPr>
        <w:t>规划形成“一环五横五纵”的城市干道框架。</w:t>
      </w:r>
      <w:r>
        <w:rPr>
          <w:rFonts w:cs="Times New Roman"/>
        </w:rPr>
        <w:t>一环：东环路、南环路、西环路、北环路构成的环城路。五横：科技路、华梁路、中山大道、考城路和文体路；五纵：济阳大道、黄河大道、裕禄大道-迎宾大道、学院街和东明大道。</w:t>
      </w:r>
    </w:p>
    <w:p w14:paraId="1BC137CC">
      <w:pPr>
        <w:pStyle w:val="47"/>
        <w:spacing w:before="0" w:beforeLines="0" w:line="596" w:lineRule="exact"/>
        <w:ind w:firstLine="640"/>
        <w:rPr>
          <w:b w:val="0"/>
        </w:rPr>
      </w:pPr>
      <w:r>
        <w:rPr>
          <w:b w:val="0"/>
        </w:rPr>
        <w:t>城市路网密度</w:t>
      </w:r>
    </w:p>
    <w:p w14:paraId="749395A0">
      <w:pPr>
        <w:spacing w:line="596" w:lineRule="exact"/>
        <w:ind w:firstLine="640"/>
        <w:rPr>
          <w:rFonts w:cs="Times New Roman"/>
        </w:rPr>
      </w:pPr>
      <w:r>
        <w:rPr>
          <w:rFonts w:cs="Times New Roman"/>
          <w:u w:val="none"/>
        </w:rPr>
        <w:t>规划干线道路里程123.8公里，干线道路网密度1.8公里/平方公里。</w:t>
      </w:r>
      <w:r>
        <w:rPr>
          <w:rFonts w:cs="Times New Roman"/>
        </w:rPr>
        <w:t>落实“窄马路、密路网”理念，加强居住区II级支路建设，居住区路网密度达到8公里/平方公里以上；加强次干路和I级支路建设，城市核心区道路网密度达到10-20公里/平方公里；工业区与物流园区路网密度不低于4公里/平方公里。</w:t>
      </w:r>
    </w:p>
    <w:p w14:paraId="6E3DB117">
      <w:pPr>
        <w:pStyle w:val="47"/>
        <w:spacing w:before="0" w:beforeLines="0" w:line="596" w:lineRule="exact"/>
        <w:ind w:firstLine="640"/>
        <w:rPr>
          <w:b w:val="0"/>
        </w:rPr>
      </w:pPr>
      <w:r>
        <w:rPr>
          <w:b w:val="0"/>
        </w:rPr>
        <w:t>城市公共交通系统</w:t>
      </w:r>
    </w:p>
    <w:p w14:paraId="401B23FB">
      <w:pPr>
        <w:spacing w:line="596" w:lineRule="exact"/>
        <w:ind w:firstLine="640"/>
        <w:rPr>
          <w:rFonts w:cs="Times New Roman"/>
        </w:rPr>
      </w:pPr>
      <w:r>
        <w:rPr>
          <w:rFonts w:cs="Times New Roman"/>
        </w:rPr>
        <w:t>充分体现“绿色交通优先”思想，构建中心城区“环线公交为骨干、七纵七横”的公交网络体系。</w:t>
      </w:r>
    </w:p>
    <w:p w14:paraId="6D8EAF45">
      <w:pPr>
        <w:pStyle w:val="47"/>
        <w:spacing w:before="0" w:beforeLines="0" w:line="596" w:lineRule="exact"/>
        <w:ind w:firstLine="640"/>
        <w:rPr>
          <w:b w:val="0"/>
        </w:rPr>
      </w:pPr>
      <w:r>
        <w:rPr>
          <w:b w:val="0"/>
        </w:rPr>
        <w:t>城市慢行系统</w:t>
      </w:r>
    </w:p>
    <w:p w14:paraId="3D3EACFA">
      <w:pPr>
        <w:spacing w:line="596" w:lineRule="exact"/>
        <w:ind w:firstLine="640"/>
        <w:rPr>
          <w:rFonts w:cs="Times New Roman"/>
        </w:rPr>
      </w:pPr>
      <w:r>
        <w:rPr>
          <w:rFonts w:cs="Times New Roman"/>
        </w:rPr>
        <w:t>结合公园、绿地水系、文体设施及旅游景点等，形成包括步行连廊、地下步行通道、地面慢行街道等丰富多样的立体化步行系统，设置3个独立慢行交通区。倡导“公共交通+自行车”的绿色出行模式，规划区形成“网格形”的内部自行车廊道系统。规划在凤鸣湖公园、金牛湖公园设置两个公共自行车调度中心，同时结合公交站点、换乘枢纽、公园等设置公共自行车租赁点。</w:t>
      </w:r>
    </w:p>
    <w:p w14:paraId="6CDA8899">
      <w:pPr>
        <w:pStyle w:val="47"/>
        <w:spacing w:before="0" w:beforeLines="0" w:line="596" w:lineRule="exact"/>
        <w:ind w:firstLine="640"/>
        <w:rPr>
          <w:b w:val="0"/>
        </w:rPr>
      </w:pPr>
      <w:r>
        <w:rPr>
          <w:b w:val="0"/>
        </w:rPr>
        <w:t>公共停车场</w:t>
      </w:r>
    </w:p>
    <w:p w14:paraId="37DA1B84">
      <w:pPr>
        <w:spacing w:line="596" w:lineRule="exact"/>
        <w:ind w:firstLine="640"/>
        <w:rPr>
          <w:rFonts w:hint="eastAsia" w:eastAsia="仿宋_GB2312" w:cs="Times New Roman"/>
          <w:lang w:eastAsia="zh-CN"/>
        </w:rPr>
      </w:pPr>
      <w:r>
        <w:rPr>
          <w:rFonts w:hint="eastAsia" w:cs="Times New Roman"/>
        </w:rPr>
        <w:t>规划中心城区以配建停车为主、路外社会停车为辅、路内停车为必要补充的供应格局。规划社会停车场32处，总用地面积约26.8</w:t>
      </w:r>
      <w:r>
        <w:rPr>
          <w:rFonts w:cs="Times New Roman"/>
        </w:rPr>
        <w:t>2</w:t>
      </w:r>
      <w:r>
        <w:rPr>
          <w:rFonts w:hint="eastAsia" w:cs="Times New Roman"/>
        </w:rPr>
        <w:t>公顷</w:t>
      </w:r>
      <w:r>
        <w:rPr>
          <w:rFonts w:hint="eastAsia" w:cs="Times New Roman"/>
          <w:lang w:eastAsia="zh-CN"/>
        </w:rPr>
        <w:t>。</w:t>
      </w:r>
    </w:p>
    <w:p w14:paraId="6A1E152B">
      <w:pPr>
        <w:pStyle w:val="47"/>
        <w:spacing w:before="0" w:beforeLines="0" w:line="596" w:lineRule="exact"/>
        <w:ind w:firstLine="640"/>
        <w:rPr>
          <w:b w:val="0"/>
        </w:rPr>
      </w:pPr>
      <w:r>
        <w:rPr>
          <w:b w:val="0"/>
        </w:rPr>
        <w:t>新能源基础设施</w:t>
      </w:r>
    </w:p>
    <w:p w14:paraId="0C0F298F">
      <w:pPr>
        <w:spacing w:line="596" w:lineRule="exact"/>
        <w:ind w:firstLine="640"/>
        <w:rPr>
          <w:rFonts w:cs="Times New Roman"/>
        </w:rPr>
      </w:pPr>
      <w:bookmarkStart w:id="219" w:name="_Toc29734"/>
      <w:bookmarkStart w:id="220" w:name="_Toc10142"/>
      <w:r>
        <w:rPr>
          <w:rFonts w:cs="Times New Roman"/>
        </w:rPr>
        <w:t>规划结合中心城区用地布局以及电动汽车分布等特点，规划设置充电站、大型充电集群、中型充电集群、小型充电集群、独立充电桩5类新能源汽车充电设施。每2000辆电动汽车应配置一座公共充电站，新建住宅配建停车位应100%预留供电设备安置</w:t>
      </w:r>
      <w:r>
        <w:rPr>
          <w:rFonts w:hint="eastAsia" w:cs="Times New Roman"/>
        </w:rPr>
        <w:t>空间</w:t>
      </w:r>
      <w:r>
        <w:rPr>
          <w:rFonts w:cs="Times New Roman"/>
        </w:rPr>
        <w:t>及充电设施供电容量，新建大于2万平方米的商场、宾馆、医院、办公楼等大型公共建筑配建停车场和社会公共停车场，具有充电设施的停车位应不少于总停车位的10%。</w:t>
      </w:r>
    </w:p>
    <w:p w14:paraId="78DF98C6">
      <w:pPr>
        <w:spacing w:line="596" w:lineRule="exact"/>
        <w:ind w:firstLine="640"/>
        <w:rPr>
          <w:rFonts w:cs="Times New Roman"/>
        </w:rPr>
      </w:pPr>
    </w:p>
    <w:p w14:paraId="7074F979">
      <w:pPr>
        <w:pStyle w:val="3"/>
        <w:numPr>
          <w:ilvl w:val="0"/>
          <w:numId w:val="8"/>
        </w:numPr>
      </w:pPr>
      <w:bookmarkStart w:id="221" w:name="_Toc26075"/>
      <w:r>
        <w:t>统筹地下空间利用</w:t>
      </w:r>
      <w:bookmarkEnd w:id="219"/>
      <w:bookmarkEnd w:id="220"/>
      <w:bookmarkEnd w:id="221"/>
    </w:p>
    <w:p w14:paraId="3BE52E8C">
      <w:pPr>
        <w:pStyle w:val="47"/>
        <w:spacing w:before="0" w:beforeLines="0" w:line="596" w:lineRule="exact"/>
        <w:ind w:firstLine="640"/>
        <w:rPr>
          <w:b w:val="0"/>
        </w:rPr>
      </w:pPr>
      <w:r>
        <w:rPr>
          <w:b w:val="0"/>
        </w:rPr>
        <w:t>地下空间开发利用方向</w:t>
      </w:r>
    </w:p>
    <w:p w14:paraId="0C9D755E">
      <w:pPr>
        <w:spacing w:line="596" w:lineRule="exact"/>
        <w:ind w:firstLine="640"/>
        <w:rPr>
          <w:rFonts w:cs="Times New Roman"/>
        </w:rPr>
      </w:pPr>
      <w:r>
        <w:rPr>
          <w:rFonts w:cs="Times New Roman"/>
        </w:rPr>
        <w:t>依托城市中心区、交通枢纽地上空间布局，布置地下商业、文化娱乐、步行系统等功能，进行地下综合开发。</w:t>
      </w:r>
    </w:p>
    <w:p w14:paraId="1D3A8684">
      <w:pPr>
        <w:spacing w:line="596" w:lineRule="exact"/>
        <w:ind w:firstLine="640"/>
        <w:rPr>
          <w:rFonts w:cs="Times New Roman"/>
        </w:rPr>
      </w:pPr>
      <w:r>
        <w:rPr>
          <w:rFonts w:cs="Times New Roman"/>
        </w:rPr>
        <w:t>结合城市油气站点布局，合理修建油库、天然气库以及其它各种物资仓库等地下空间；结合民用建筑修建防空地下室，建设完善的地下人防系统、地下交通系统、地下市政基础设施系统、地下生命线系统。</w:t>
      </w:r>
    </w:p>
    <w:p w14:paraId="7A4982B2">
      <w:pPr>
        <w:pStyle w:val="47"/>
        <w:spacing w:before="0" w:beforeLines="0" w:line="596" w:lineRule="exact"/>
        <w:ind w:firstLine="640"/>
        <w:rPr>
          <w:b w:val="0"/>
        </w:rPr>
      </w:pPr>
      <w:r>
        <w:rPr>
          <w:b w:val="0"/>
        </w:rPr>
        <w:t>地下空间竖向管控</w:t>
      </w:r>
    </w:p>
    <w:p w14:paraId="20EFE5EB">
      <w:pPr>
        <w:spacing w:line="596" w:lineRule="exact"/>
        <w:ind w:firstLine="640"/>
        <w:rPr>
          <w:rFonts w:cs="Times New Roman"/>
        </w:rPr>
      </w:pPr>
      <w:r>
        <w:rPr>
          <w:rFonts w:cs="Times New Roman"/>
        </w:rPr>
        <w:t>结合兰考县城市经济社会发展现状，合理安排地下空间功能。将中心城区地下竖向空间划分为3层，表层（0~</w:t>
      </w:r>
      <w:r>
        <w:rPr>
          <w:rFonts w:hint="eastAsia" w:ascii="仿宋_GB2312" w:cs="Times New Roman"/>
        </w:rPr>
        <w:t>-</w:t>
      </w:r>
      <w:r>
        <w:rPr>
          <w:rFonts w:cs="Times New Roman"/>
        </w:rPr>
        <w:t>3米），浅层（</w:t>
      </w:r>
      <w:r>
        <w:rPr>
          <w:rFonts w:hint="eastAsia" w:ascii="仿宋_GB2312" w:cs="Times New Roman"/>
        </w:rPr>
        <w:t>-</w:t>
      </w:r>
      <w:r>
        <w:rPr>
          <w:rFonts w:cs="Times New Roman"/>
        </w:rPr>
        <w:t>3~</w:t>
      </w:r>
      <w:r>
        <w:rPr>
          <w:rFonts w:hint="eastAsia" w:ascii="仿宋_GB2312" w:cs="Times New Roman"/>
        </w:rPr>
        <w:t>-</w:t>
      </w:r>
      <w:r>
        <w:rPr>
          <w:rFonts w:cs="Times New Roman"/>
        </w:rPr>
        <w:t>15米），中深层（</w:t>
      </w:r>
      <w:r>
        <w:rPr>
          <w:rFonts w:hint="eastAsia" w:ascii="仿宋_GB2312" w:cs="Times New Roman"/>
        </w:rPr>
        <w:t>-</w:t>
      </w:r>
      <w:r>
        <w:rPr>
          <w:rFonts w:cs="Times New Roman"/>
        </w:rPr>
        <w:t>15米以下）。表层地下空间优先安排交通、市政等功能，其中非道路下可适度安排公共设施、商业、仓储等功能；浅层地下空间主要为公共服务设施，其中非道路下可适度安排防灾设施、生产储藏设施等功能；中深层地下空间以保护控制为主，重点地区地下空间开发可有条件利用中深层。</w:t>
      </w:r>
    </w:p>
    <w:p w14:paraId="2F8F0C02">
      <w:pPr>
        <w:pStyle w:val="47"/>
        <w:spacing w:before="0" w:beforeLines="0" w:line="596" w:lineRule="exact"/>
        <w:ind w:firstLine="640"/>
        <w:rPr>
          <w:b w:val="0"/>
        </w:rPr>
      </w:pPr>
      <w:r>
        <w:rPr>
          <w:b w:val="0"/>
        </w:rPr>
        <w:t>地下空间分区管控</w:t>
      </w:r>
    </w:p>
    <w:p w14:paraId="75DAE1AC">
      <w:pPr>
        <w:spacing w:line="596" w:lineRule="exact"/>
        <w:ind w:firstLine="640"/>
        <w:rPr>
          <w:rFonts w:cs="Times New Roman"/>
        </w:rPr>
      </w:pPr>
      <w:r>
        <w:rPr>
          <w:rFonts w:cs="Times New Roman"/>
        </w:rPr>
        <w:t>将地下空间划分为重点发展区、一般发展区、限建区。城市地下空间重点发展区包括商务中心区、商业中心区、行政中心区等重要功能区和重要交通枢纽周边区域，城市地下空间一般建设区以人防工程和停车配建功能为主，限建区是指满足特定条件</w:t>
      </w:r>
      <w:r>
        <w:rPr>
          <w:rFonts w:hint="eastAsia" w:cs="Times New Roman"/>
        </w:rPr>
        <w:t>、</w:t>
      </w:r>
      <w:r>
        <w:rPr>
          <w:rFonts w:cs="Times New Roman"/>
        </w:rPr>
        <w:t>或限制特定功能</w:t>
      </w:r>
      <w:r>
        <w:rPr>
          <w:rFonts w:hint="eastAsia" w:cs="Times New Roman"/>
        </w:rPr>
        <w:t>，</w:t>
      </w:r>
      <w:r>
        <w:rPr>
          <w:rFonts w:cs="Times New Roman"/>
        </w:rPr>
        <w:t>或限制规模开发利用的地下空间区域。</w:t>
      </w:r>
    </w:p>
    <w:p w14:paraId="1571DF02">
      <w:pPr>
        <w:pStyle w:val="3"/>
        <w:numPr>
          <w:ilvl w:val="0"/>
          <w:numId w:val="8"/>
        </w:numPr>
      </w:pPr>
      <w:bookmarkStart w:id="222" w:name="_Toc9559"/>
      <w:bookmarkStart w:id="223" w:name="_Toc28827"/>
      <w:bookmarkStart w:id="224" w:name="_Toc1717"/>
      <w:r>
        <w:t>加强四线及工业控制线管控</w:t>
      </w:r>
      <w:bookmarkEnd w:id="207"/>
      <w:bookmarkEnd w:id="222"/>
      <w:bookmarkEnd w:id="223"/>
      <w:bookmarkEnd w:id="224"/>
    </w:p>
    <w:p w14:paraId="47C8D49C">
      <w:pPr>
        <w:pStyle w:val="47"/>
        <w:spacing w:before="0" w:beforeLines="0" w:line="596" w:lineRule="exact"/>
        <w:ind w:firstLine="640"/>
        <w:rPr>
          <w:b w:val="0"/>
        </w:rPr>
      </w:pPr>
      <w:bookmarkStart w:id="225" w:name="_Toc16270"/>
      <w:bookmarkStart w:id="226" w:name="_Toc26647"/>
      <w:bookmarkStart w:id="227" w:name="_Toc24614"/>
      <w:r>
        <w:rPr>
          <w:b w:val="0"/>
        </w:rPr>
        <w:t>四线划定及管控</w:t>
      </w:r>
      <w:bookmarkEnd w:id="225"/>
      <w:bookmarkEnd w:id="226"/>
      <w:bookmarkEnd w:id="227"/>
    </w:p>
    <w:p w14:paraId="5E195407">
      <w:pPr>
        <w:spacing w:line="596" w:lineRule="exact"/>
        <w:ind w:firstLine="640"/>
        <w:rPr>
          <w:rFonts w:cs="Times New Roman"/>
          <w:szCs w:val="32"/>
          <w:u w:val="none"/>
        </w:rPr>
      </w:pPr>
      <w:bookmarkStart w:id="228" w:name="_Toc2540"/>
      <w:bookmarkStart w:id="229" w:name="_Toc32304"/>
      <w:bookmarkStart w:id="230" w:name="_Toc4366"/>
      <w:r>
        <w:rPr>
          <w:rFonts w:cs="Times New Roman"/>
          <w:szCs w:val="32"/>
          <w:u w:val="none"/>
        </w:rPr>
        <w:t>1.城市黄线划定与管控</w:t>
      </w:r>
    </w:p>
    <w:p w14:paraId="7176632E">
      <w:pPr>
        <w:spacing w:line="596" w:lineRule="exact"/>
        <w:ind w:firstLine="640"/>
        <w:rPr>
          <w:rFonts w:cs="Times New Roman"/>
          <w:spacing w:val="-6"/>
          <w:szCs w:val="40"/>
          <w:u w:val="none"/>
        </w:rPr>
      </w:pPr>
      <w:r>
        <w:rPr>
          <w:rFonts w:cs="Times New Roman"/>
          <w:szCs w:val="32"/>
          <w:u w:val="none"/>
        </w:rPr>
        <w:t>将对城市发展全局有重大影响的交通设施、公共安全设施以及基础设施用地的控制界线划定为城市黄线。</w:t>
      </w:r>
      <w:r>
        <w:rPr>
          <w:rFonts w:cs="Times New Roman"/>
          <w:spacing w:val="-6"/>
          <w:szCs w:val="40"/>
          <w:u w:val="none"/>
        </w:rPr>
        <w:t>将中心城区给水厂、污水厂、变电站、热电厂、燃气门站、储配站、通信设施、消防站、环卫设施、铁路站场、公路客运站等城市基础设施纳入城市黄线</w:t>
      </w:r>
      <w:r>
        <w:rPr>
          <w:rFonts w:hint="eastAsia" w:cs="Times New Roman"/>
          <w:spacing w:val="-6"/>
          <w:szCs w:val="40"/>
          <w:u w:val="none"/>
        </w:rPr>
        <w:t>。</w:t>
      </w:r>
      <w:r>
        <w:rPr>
          <w:rFonts w:cs="Times New Roman"/>
          <w:spacing w:val="-6"/>
          <w:szCs w:val="40"/>
          <w:u w:val="none"/>
        </w:rPr>
        <w:t>城市黄线严格按照《城市黄线管理办法》及相关法律法规管控。</w:t>
      </w:r>
    </w:p>
    <w:p w14:paraId="203D5854">
      <w:pPr>
        <w:spacing w:line="596" w:lineRule="exact"/>
        <w:ind w:firstLine="640"/>
        <w:rPr>
          <w:rFonts w:cs="Times New Roman"/>
          <w:szCs w:val="32"/>
          <w:u w:val="none"/>
        </w:rPr>
      </w:pPr>
      <w:r>
        <w:rPr>
          <w:rFonts w:cs="Times New Roman"/>
          <w:szCs w:val="32"/>
          <w:u w:val="none"/>
        </w:rPr>
        <w:t>2.城市蓝线划定与管控</w:t>
      </w:r>
    </w:p>
    <w:p w14:paraId="61196B66">
      <w:pPr>
        <w:spacing w:line="596" w:lineRule="exact"/>
        <w:ind w:firstLine="640"/>
        <w:rPr>
          <w:rFonts w:cs="Times New Roman"/>
          <w:spacing w:val="-6"/>
          <w:szCs w:val="40"/>
          <w:u w:val="none"/>
        </w:rPr>
      </w:pPr>
      <w:r>
        <w:rPr>
          <w:rFonts w:cs="Times New Roman"/>
          <w:szCs w:val="32"/>
          <w:u w:val="none"/>
        </w:rPr>
        <w:t>将主干河流水系和功能型地表水体的控制线划定为城市蓝线。</w:t>
      </w:r>
      <w:r>
        <w:rPr>
          <w:rFonts w:cs="Times New Roman"/>
          <w:spacing w:val="-6"/>
          <w:szCs w:val="40"/>
          <w:u w:val="none"/>
        </w:rPr>
        <w:t>将城镇开发边界内的兰阳河、四干渠、浚仪河等重要河道，以及其他重要水域纳入城市蓝线。城市蓝线严格按照《城市蓝线管理办法》及相关法律法规管控。</w:t>
      </w:r>
    </w:p>
    <w:p w14:paraId="38876465">
      <w:pPr>
        <w:spacing w:line="596" w:lineRule="exact"/>
        <w:ind w:firstLine="640"/>
        <w:rPr>
          <w:rFonts w:cs="Times New Roman"/>
          <w:szCs w:val="32"/>
          <w:u w:val="none"/>
        </w:rPr>
      </w:pPr>
      <w:r>
        <w:rPr>
          <w:rFonts w:cs="Times New Roman"/>
          <w:szCs w:val="32"/>
          <w:u w:val="none"/>
        </w:rPr>
        <w:t>3.城市绿线划定与管控</w:t>
      </w:r>
    </w:p>
    <w:p w14:paraId="464BD66C">
      <w:pPr>
        <w:spacing w:line="596" w:lineRule="exact"/>
        <w:ind w:firstLine="640"/>
        <w:rPr>
          <w:rFonts w:cs="Times New Roman"/>
          <w:szCs w:val="40"/>
          <w:u w:val="none"/>
        </w:rPr>
      </w:pPr>
      <w:r>
        <w:rPr>
          <w:rFonts w:cs="Times New Roman"/>
          <w:szCs w:val="40"/>
          <w:u w:val="none"/>
        </w:rPr>
        <w:t>将主要公共绿地、防护绿地等结构性绿地的控制线划定为城市绿线。</w:t>
      </w:r>
      <w:bookmarkStart w:id="231" w:name="_Hlk135241862"/>
      <w:r>
        <w:rPr>
          <w:rFonts w:cs="Times New Roman"/>
          <w:spacing w:val="-6"/>
          <w:szCs w:val="40"/>
          <w:u w:val="none"/>
        </w:rPr>
        <w:t>将城镇开发边界内的凤鸣湖公园、兰阳河公园、南湖公园、兰阳湖公园等结构性公园绿地和防护绿地划入城市绿线。</w:t>
      </w:r>
      <w:r>
        <w:rPr>
          <w:rFonts w:cs="Times New Roman"/>
          <w:szCs w:val="40"/>
          <w:u w:val="none"/>
        </w:rPr>
        <w:t>其他公园绿地、防护绿地等的绿线范围由</w:t>
      </w:r>
      <w:r>
        <w:rPr>
          <w:rFonts w:hint="eastAsia" w:cs="Times New Roman"/>
          <w:szCs w:val="40"/>
          <w:u w:val="none"/>
        </w:rPr>
        <w:t>下位规划</w:t>
      </w:r>
      <w:r>
        <w:rPr>
          <w:rFonts w:cs="Times New Roman"/>
          <w:szCs w:val="40"/>
          <w:u w:val="none"/>
        </w:rPr>
        <w:t>划定</w:t>
      </w:r>
      <w:bookmarkEnd w:id="231"/>
      <w:r>
        <w:rPr>
          <w:rFonts w:hint="eastAsia" w:cs="Times New Roman"/>
          <w:szCs w:val="40"/>
          <w:u w:val="none"/>
        </w:rPr>
        <w:t>。</w:t>
      </w:r>
      <w:r>
        <w:rPr>
          <w:rFonts w:cs="Times New Roman"/>
          <w:spacing w:val="-6"/>
          <w:szCs w:val="40"/>
          <w:u w:val="none"/>
        </w:rPr>
        <w:t>城市绿线严格按照《城市绿线管理办法》及相关法律法规管控。</w:t>
      </w:r>
    </w:p>
    <w:p w14:paraId="61EBB2B2">
      <w:pPr>
        <w:pStyle w:val="47"/>
        <w:spacing w:before="0" w:beforeLines="0" w:line="596" w:lineRule="exact"/>
        <w:ind w:firstLine="640"/>
        <w:rPr>
          <w:b w:val="0"/>
          <w:u w:val="none"/>
        </w:rPr>
      </w:pPr>
      <w:r>
        <w:rPr>
          <w:b w:val="0"/>
          <w:u w:val="none"/>
        </w:rPr>
        <w:t>工业用地控制线划定及管控</w:t>
      </w:r>
      <w:bookmarkEnd w:id="228"/>
      <w:bookmarkEnd w:id="229"/>
      <w:bookmarkEnd w:id="230"/>
    </w:p>
    <w:p w14:paraId="1594C354">
      <w:pPr>
        <w:spacing w:line="596" w:lineRule="exact"/>
        <w:ind w:firstLine="640"/>
        <w:rPr>
          <w:rFonts w:cs="Times New Roman"/>
          <w:sz w:val="30"/>
          <w:szCs w:val="30"/>
          <w:u w:val="none"/>
        </w:rPr>
      </w:pPr>
      <w:bookmarkStart w:id="232" w:name="_Toc21623"/>
      <w:r>
        <w:rPr>
          <w:rFonts w:cs="Times New Roman"/>
          <w:szCs w:val="40"/>
          <w:u w:val="none"/>
        </w:rPr>
        <w:t>将一类工业用地、二类工业用地、三类工业用地、新型工业用地和为工业生产服务的仓储物流用地控制线划定为城市工业红线</w:t>
      </w:r>
      <w:r>
        <w:rPr>
          <w:rFonts w:cs="Times New Roman"/>
          <w:spacing w:val="-6"/>
          <w:szCs w:val="40"/>
          <w:u w:val="none"/>
        </w:rPr>
        <w:t>。严格限制红线内工业用地调整为其他用途，严控“工改居”、“工改商”。</w:t>
      </w:r>
      <w:r>
        <w:rPr>
          <w:rFonts w:cs="Times New Roman"/>
          <w:szCs w:val="40"/>
          <w:u w:val="none"/>
        </w:rPr>
        <w:t>按照相关法律法规和管理要求，可以实施工业配套设施建设。</w:t>
      </w:r>
    </w:p>
    <w:p w14:paraId="12B5450E">
      <w:pPr>
        <w:pStyle w:val="3"/>
        <w:numPr>
          <w:ilvl w:val="0"/>
          <w:numId w:val="8"/>
        </w:numPr>
      </w:pPr>
      <w:bookmarkStart w:id="233" w:name="_Toc2874"/>
      <w:r>
        <w:t>塑造城市风貌</w:t>
      </w:r>
      <w:bookmarkEnd w:id="232"/>
      <w:bookmarkEnd w:id="233"/>
    </w:p>
    <w:p w14:paraId="59FEB781">
      <w:pPr>
        <w:pStyle w:val="47"/>
        <w:spacing w:before="0" w:beforeLines="0" w:line="596" w:lineRule="exact"/>
        <w:ind w:firstLine="640"/>
        <w:rPr>
          <w:b w:val="0"/>
        </w:rPr>
      </w:pPr>
      <w:bookmarkStart w:id="234" w:name="_Toc24670"/>
      <w:bookmarkStart w:id="235" w:name="_Toc17764"/>
      <w:bookmarkStart w:id="236" w:name="_Toc18216"/>
      <w:r>
        <w:rPr>
          <w:b w:val="0"/>
        </w:rPr>
        <w:t>红色历史文化名城</w:t>
      </w:r>
    </w:p>
    <w:p w14:paraId="1F6E6D93">
      <w:pPr>
        <w:spacing w:line="596" w:lineRule="exact"/>
        <w:ind w:firstLine="640"/>
        <w:rPr>
          <w:rFonts w:cs="Times New Roman"/>
        </w:rPr>
      </w:pPr>
      <w:r>
        <w:rPr>
          <w:rFonts w:hint="eastAsia" w:cs="Times New Roman"/>
        </w:rPr>
        <w:t>以中心城区内的焦裕禄烈士墓、焦桐等文物保护单位为基础，以焦裕禄纪念园、焦裕禄精神文化园为支撑，打造红色历史文化名城</w:t>
      </w:r>
      <w:r>
        <w:rPr>
          <w:rFonts w:cs="Times New Roman"/>
        </w:rPr>
        <w:t>。</w:t>
      </w:r>
    </w:p>
    <w:p w14:paraId="791B30C8">
      <w:pPr>
        <w:pStyle w:val="47"/>
        <w:spacing w:before="0" w:beforeLines="0" w:line="596" w:lineRule="exact"/>
        <w:ind w:firstLine="640"/>
        <w:rPr>
          <w:b w:val="0"/>
        </w:rPr>
      </w:pPr>
      <w:r>
        <w:rPr>
          <w:b w:val="0"/>
        </w:rPr>
        <w:t>中心城区城市设计框架</w:t>
      </w:r>
      <w:bookmarkEnd w:id="234"/>
      <w:bookmarkEnd w:id="235"/>
      <w:bookmarkEnd w:id="236"/>
    </w:p>
    <w:p w14:paraId="1C9EE207">
      <w:pPr>
        <w:spacing w:line="596" w:lineRule="exact"/>
        <w:ind w:firstLine="640"/>
        <w:rPr>
          <w:rFonts w:cs="Times New Roman"/>
        </w:rPr>
      </w:pPr>
      <w:r>
        <w:rPr>
          <w:rFonts w:cs="Times New Roman"/>
        </w:rPr>
        <w:t>规划构建“两轴、三带、六心、四区”的总体城市设计框架。</w:t>
      </w:r>
    </w:p>
    <w:p w14:paraId="777D4FAB">
      <w:pPr>
        <w:spacing w:line="596" w:lineRule="exact"/>
        <w:ind w:firstLine="640"/>
        <w:rPr>
          <w:rFonts w:cs="Times New Roman"/>
        </w:rPr>
      </w:pPr>
      <w:r>
        <w:rPr>
          <w:rFonts w:cs="Times New Roman"/>
        </w:rPr>
        <w:t>两轴：沿中山大道的城市历史发展展示轴、沿裕禄大道</w:t>
      </w:r>
      <w:r>
        <w:rPr>
          <w:rFonts w:hint="eastAsia" w:cs="Times New Roman"/>
        </w:rPr>
        <w:t>-</w:t>
      </w:r>
      <w:r>
        <w:rPr>
          <w:rFonts w:cs="Times New Roman"/>
        </w:rPr>
        <w:t>迎宾大道的城市综合性景观轴。</w:t>
      </w:r>
    </w:p>
    <w:p w14:paraId="21DDA86A">
      <w:pPr>
        <w:spacing w:line="596" w:lineRule="exact"/>
        <w:ind w:firstLine="640"/>
        <w:rPr>
          <w:rFonts w:cs="Times New Roman"/>
        </w:rPr>
      </w:pPr>
      <w:r>
        <w:rPr>
          <w:rFonts w:cs="Times New Roman"/>
        </w:rPr>
        <w:t>三带：兰阳河生态人文景观带、四干渠滨水生态景观带、陇海铁路生态廊带。</w:t>
      </w:r>
    </w:p>
    <w:p w14:paraId="6FD3F793">
      <w:pPr>
        <w:spacing w:line="596" w:lineRule="exact"/>
        <w:ind w:firstLine="640"/>
        <w:rPr>
          <w:rFonts w:cs="Times New Roman"/>
        </w:rPr>
      </w:pPr>
      <w:r>
        <w:rPr>
          <w:rFonts w:cs="Times New Roman"/>
        </w:rPr>
        <w:t>六心：老城记忆核心、新城创新中心、高铁门户中心、行政文化中心、金牛湖低碳生态核心、凤鸣湖生态核心。</w:t>
      </w:r>
    </w:p>
    <w:p w14:paraId="0FB7D0AC">
      <w:pPr>
        <w:spacing w:line="596" w:lineRule="exact"/>
        <w:ind w:firstLine="640"/>
        <w:rPr>
          <w:rFonts w:cs="Times New Roman"/>
        </w:rPr>
      </w:pPr>
      <w:r>
        <w:rPr>
          <w:rFonts w:cs="Times New Roman"/>
        </w:rPr>
        <w:t>四区：红色城市文化风貌区、行政综合服务风貌区、新工业文明风貌区、绿色产业风貌区。</w:t>
      </w:r>
    </w:p>
    <w:p w14:paraId="64DAB92F">
      <w:pPr>
        <w:pStyle w:val="47"/>
        <w:spacing w:before="0" w:beforeLines="0" w:line="596" w:lineRule="exact"/>
        <w:ind w:firstLine="640"/>
        <w:rPr>
          <w:b w:val="0"/>
        </w:rPr>
      </w:pPr>
      <w:bookmarkStart w:id="237" w:name="_Toc24792"/>
      <w:bookmarkStart w:id="238" w:name="_Toc6674"/>
      <w:bookmarkStart w:id="239" w:name="_Toc14306"/>
      <w:r>
        <w:rPr>
          <w:b w:val="0"/>
        </w:rPr>
        <w:t>中心城区城市风貌分区控制</w:t>
      </w:r>
      <w:bookmarkEnd w:id="237"/>
      <w:bookmarkEnd w:id="238"/>
      <w:bookmarkEnd w:id="239"/>
    </w:p>
    <w:p w14:paraId="18C6AB17">
      <w:pPr>
        <w:spacing w:line="596" w:lineRule="exact"/>
        <w:ind w:firstLine="640"/>
        <w:rPr>
          <w:rFonts w:cs="Times New Roman"/>
        </w:rPr>
      </w:pPr>
      <w:r>
        <w:rPr>
          <w:rFonts w:cs="Times New Roman"/>
        </w:rPr>
        <w:t>行政综合服务风貌区：位于兰阳河以北区域。在建筑风格上以传统建筑和新中式建筑为主，以红色文化、行政办公为特色，打造成为兰考之魂、人文创新发展区。</w:t>
      </w:r>
    </w:p>
    <w:p w14:paraId="407147EE">
      <w:pPr>
        <w:spacing w:line="596" w:lineRule="exact"/>
        <w:ind w:firstLine="640"/>
        <w:rPr>
          <w:rFonts w:cs="Times New Roman"/>
        </w:rPr>
      </w:pPr>
      <w:r>
        <w:rPr>
          <w:rFonts w:cs="Times New Roman"/>
        </w:rPr>
        <w:t>红色城市文化风貌区：位于陇海铁路站以北的老城区。注重把握建筑特色和景观质量，形成以50-70年代红色文化建筑和新中式建筑风格为主，突出传统老城特色、展示</w:t>
      </w:r>
      <w:r>
        <w:rPr>
          <w:rFonts w:hint="eastAsia" w:cs="Times New Roman"/>
        </w:rPr>
        <w:t>兰考县</w:t>
      </w:r>
      <w:r>
        <w:rPr>
          <w:rFonts w:cs="Times New Roman"/>
        </w:rPr>
        <w:t>历史文化风貌和体验</w:t>
      </w:r>
      <w:r>
        <w:rPr>
          <w:rFonts w:hint="eastAsia" w:cs="Times New Roman"/>
        </w:rPr>
        <w:t>兰考县</w:t>
      </w:r>
      <w:r>
        <w:rPr>
          <w:rFonts w:cs="Times New Roman"/>
        </w:rPr>
        <w:t>传统文化生活，打造成</w:t>
      </w:r>
      <w:r>
        <w:rPr>
          <w:rFonts w:hint="eastAsia" w:cs="Times New Roman"/>
        </w:rPr>
        <w:t>兰考</w:t>
      </w:r>
      <w:r>
        <w:rPr>
          <w:rFonts w:cs="Times New Roman"/>
        </w:rPr>
        <w:t>之根和文化之城。</w:t>
      </w:r>
    </w:p>
    <w:p w14:paraId="6186FF64">
      <w:pPr>
        <w:spacing w:line="596" w:lineRule="exact"/>
        <w:ind w:firstLine="640"/>
        <w:rPr>
          <w:rFonts w:cs="Times New Roman"/>
        </w:rPr>
      </w:pPr>
      <w:r>
        <w:rPr>
          <w:rFonts w:cs="Times New Roman"/>
        </w:rPr>
        <w:t>新工业文明风貌区：位于西部的科创新区。打造以新工业发展为主体、以高端商务、休闲生活为辅的综合性景观区；建筑风格以现代建筑风格为主，集中展现兰考县现代城市魅力和体验现代城市生活，打造成</w:t>
      </w:r>
      <w:r>
        <w:rPr>
          <w:rFonts w:hint="eastAsia" w:cs="Times New Roman"/>
        </w:rPr>
        <w:t>兰考县</w:t>
      </w:r>
      <w:r>
        <w:rPr>
          <w:rFonts w:cs="Times New Roman"/>
        </w:rPr>
        <w:t>的未来创新城。</w:t>
      </w:r>
    </w:p>
    <w:p w14:paraId="17F17FEE">
      <w:pPr>
        <w:spacing w:line="596" w:lineRule="exact"/>
        <w:ind w:firstLine="640"/>
        <w:rPr>
          <w:rFonts w:cs="Times New Roman"/>
        </w:rPr>
      </w:pPr>
      <w:r>
        <w:rPr>
          <w:rFonts w:cs="Times New Roman"/>
        </w:rPr>
        <w:t>绿色产业风貌区：位于陇海铁路以南的经济技术开发区以及城北产业功能区。以工业建筑风貌为主导，以现代办公建筑为特色，形成“产、教、城”三位一体的现代产业风貌区，充分展现兰考县产业高质量发展的成果，打造成</w:t>
      </w:r>
      <w:r>
        <w:rPr>
          <w:rFonts w:hint="eastAsia" w:cs="Times New Roman"/>
        </w:rPr>
        <w:t>兰考县</w:t>
      </w:r>
      <w:r>
        <w:rPr>
          <w:rFonts w:cs="Times New Roman"/>
        </w:rPr>
        <w:t>的绿色之城和产业之城。</w:t>
      </w:r>
    </w:p>
    <w:p w14:paraId="4EBBDE79">
      <w:pPr>
        <w:pStyle w:val="47"/>
        <w:spacing w:before="0" w:beforeLines="0" w:line="596" w:lineRule="exact"/>
        <w:ind w:firstLine="640"/>
        <w:rPr>
          <w:b w:val="0"/>
        </w:rPr>
      </w:pPr>
      <w:r>
        <w:rPr>
          <w:b w:val="0"/>
        </w:rPr>
        <w:t>中心城区重点片区城市风貌控制</w:t>
      </w:r>
    </w:p>
    <w:p w14:paraId="34C31FB2">
      <w:pPr>
        <w:spacing w:line="596" w:lineRule="exact"/>
        <w:ind w:firstLine="640"/>
        <w:rPr>
          <w:rFonts w:cs="Times New Roman"/>
        </w:rPr>
      </w:pPr>
      <w:r>
        <w:rPr>
          <w:rFonts w:cs="Times New Roman"/>
        </w:rPr>
        <w:t>城市风貌重点控制区主要包括老城区、兰阳河两侧、金牛湖周边、</w:t>
      </w:r>
      <w:r>
        <w:rPr>
          <w:rFonts w:hint="eastAsia" w:cs="Times New Roman"/>
        </w:rPr>
        <w:t>行政中心区</w:t>
      </w:r>
      <w:r>
        <w:rPr>
          <w:rFonts w:cs="Times New Roman"/>
        </w:rPr>
        <w:t>以及焦裕禄干部学院周边区域。在风貌重点控制范围内，新建建筑的高度、密度以及风貌控制等应严格按照相关规划要求进行管控，以确保老城区、城市重点区域以及主要景观通廊的空间品质。</w:t>
      </w:r>
    </w:p>
    <w:p w14:paraId="2DFB67BD">
      <w:pPr>
        <w:pStyle w:val="47"/>
        <w:spacing w:before="0" w:beforeLines="0" w:line="596" w:lineRule="exact"/>
        <w:ind w:firstLine="640"/>
        <w:rPr>
          <w:b w:val="0"/>
        </w:rPr>
      </w:pPr>
      <w:r>
        <w:rPr>
          <w:b w:val="0"/>
        </w:rPr>
        <w:t>中心城区建筑风格与色彩控制</w:t>
      </w:r>
    </w:p>
    <w:p w14:paraId="5E1C6236">
      <w:pPr>
        <w:spacing w:line="596" w:lineRule="exact"/>
        <w:ind w:firstLine="640"/>
        <w:rPr>
          <w:rFonts w:cs="Times New Roman"/>
        </w:rPr>
      </w:pPr>
      <w:r>
        <w:rPr>
          <w:rFonts w:cs="Times New Roman"/>
        </w:rPr>
        <w:t>规划中心城区建筑风格采用50-70年代红色文化建筑、现代中式、现代建筑等相结合的建筑风格。50-70年代红色文化建筑风格主要在焦裕禄陵园、火车站、兰考礼堂、青少年活动中心、老年活动中心、裕禄大道两侧、焦裕禄干部学院等城市重点公共建筑进行展现，创造代表城市红色文化的记忆点。现代中式建筑风格在中部老城区、北部行政文化区进行展现，引领</w:t>
      </w:r>
      <w:r>
        <w:rPr>
          <w:rFonts w:hint="eastAsia" w:cs="Times New Roman"/>
        </w:rPr>
        <w:t>兰考县</w:t>
      </w:r>
      <w:r>
        <w:rPr>
          <w:rFonts w:cs="Times New Roman"/>
        </w:rPr>
        <w:t>城市特色风貌。现代建筑风格主要以西部新城区和南部经济技术开发区给予充分展现，展示</w:t>
      </w:r>
      <w:r>
        <w:rPr>
          <w:rFonts w:hint="eastAsia" w:cs="Times New Roman"/>
        </w:rPr>
        <w:t>兰考县</w:t>
      </w:r>
      <w:r>
        <w:rPr>
          <w:rFonts w:cs="Times New Roman"/>
        </w:rPr>
        <w:t>现代化城市建设成果。</w:t>
      </w:r>
    </w:p>
    <w:p w14:paraId="7E5495D7">
      <w:pPr>
        <w:spacing w:line="596" w:lineRule="exact"/>
        <w:ind w:firstLine="640"/>
        <w:rPr>
          <w:rFonts w:cs="Times New Roman"/>
        </w:rPr>
      </w:pPr>
      <w:r>
        <w:rPr>
          <w:rFonts w:cs="Times New Roman"/>
        </w:rPr>
        <w:t>规划中心城区建筑色彩以“红、白、灰”为主色调，主要以城市公共建筑作为载体，在老城中心区、行政文化中心区、焦裕禄干部学院和文化交流区，向外展示</w:t>
      </w:r>
      <w:r>
        <w:rPr>
          <w:rFonts w:hint="eastAsia" w:cs="Times New Roman"/>
        </w:rPr>
        <w:t>兰考县</w:t>
      </w:r>
      <w:r>
        <w:rPr>
          <w:rFonts w:cs="Times New Roman"/>
        </w:rPr>
        <w:t>特色城市形象和精神面貌。</w:t>
      </w:r>
    </w:p>
    <w:p w14:paraId="354ADCA5">
      <w:pPr>
        <w:pStyle w:val="47"/>
        <w:spacing w:before="0" w:beforeLines="0" w:line="596" w:lineRule="exact"/>
        <w:ind w:firstLine="640"/>
        <w:rPr>
          <w:b w:val="0"/>
        </w:rPr>
      </w:pPr>
      <w:r>
        <w:rPr>
          <w:b w:val="0"/>
        </w:rPr>
        <w:t>中心城区景观视廊控制</w:t>
      </w:r>
    </w:p>
    <w:p w14:paraId="7C6C5E93">
      <w:pPr>
        <w:spacing w:line="596" w:lineRule="exact"/>
        <w:ind w:firstLine="640"/>
        <w:rPr>
          <w:rFonts w:cs="Times New Roman"/>
        </w:rPr>
      </w:pPr>
      <w:r>
        <w:rPr>
          <w:rFonts w:cs="Times New Roman"/>
        </w:rPr>
        <w:t>道路景观视廊控制。规划裕禄大道、迎宾大道、中山大道、西环路、陇海铁路等中心城区重要轴线作为道路景观视廊。道路景观视廊绿化带应尽量形成林荫大道，两侧建筑物高度与道路形成较宽敞的透视视廊空间，临路的高层建筑裙房高度不大于相</w:t>
      </w:r>
      <w:r>
        <w:rPr>
          <w:rFonts w:hint="eastAsia" w:cs="Times New Roman"/>
        </w:rPr>
        <w:t>邻</w:t>
      </w:r>
      <w:r>
        <w:rPr>
          <w:rFonts w:cs="Times New Roman"/>
        </w:rPr>
        <w:t>较宽道路红线宽度；沿路应避免建一线铺开、密不透风的高层建筑群体，应形成进退有序、高低错落的线形开敞空间；道路景观廊道必须留出空间视线走廊，保证眺望商务区高层建筑群以及其他眺望对象的空间通透感。</w:t>
      </w:r>
    </w:p>
    <w:p w14:paraId="7DF80068">
      <w:pPr>
        <w:spacing w:line="596" w:lineRule="exact"/>
        <w:ind w:firstLine="640"/>
        <w:rPr>
          <w:rFonts w:cs="Times New Roman"/>
        </w:rPr>
      </w:pPr>
      <w:r>
        <w:rPr>
          <w:rFonts w:cs="Times New Roman"/>
        </w:rPr>
        <w:t>滨水景观视廊控制。滨水区布局应保持一定的空间开敞度，因地制宜控制垂直通往岸线的交通、绿化或视线通廊，建筑物的布局宜保持通透、开敞的景观特征。主要河流两侧100米范围、一般河流50米范围内，住宅建筑高度与建筑外墙距河流蓝线（河道管控线）的垂直距离之比不宜大于0.25。</w:t>
      </w:r>
    </w:p>
    <w:p w14:paraId="6339B545">
      <w:pPr>
        <w:pStyle w:val="47"/>
        <w:spacing w:before="0" w:beforeLines="0" w:line="596" w:lineRule="exact"/>
        <w:ind w:firstLine="640"/>
        <w:rPr>
          <w:b w:val="0"/>
        </w:rPr>
      </w:pPr>
      <w:bookmarkStart w:id="240" w:name="_Toc3816"/>
      <w:r>
        <w:rPr>
          <w:b w:val="0"/>
        </w:rPr>
        <w:t>中心城区开发强度</w:t>
      </w:r>
      <w:bookmarkEnd w:id="240"/>
      <w:r>
        <w:rPr>
          <w:b w:val="0"/>
        </w:rPr>
        <w:t>控制</w:t>
      </w:r>
    </w:p>
    <w:p w14:paraId="04DA42F5">
      <w:pPr>
        <w:spacing w:line="596" w:lineRule="exact"/>
        <w:ind w:firstLine="640"/>
        <w:rPr>
          <w:rFonts w:cs="Times New Roman"/>
        </w:rPr>
      </w:pPr>
      <w:r>
        <w:rPr>
          <w:rFonts w:cs="Times New Roman"/>
        </w:rPr>
        <w:t>将中心城区划分为</w:t>
      </w:r>
      <w:r>
        <w:rPr>
          <w:rFonts w:cs="Times New Roman"/>
        </w:rPr>
        <w:fldChar w:fldCharType="begin"/>
      </w:r>
      <w:r>
        <w:rPr>
          <w:rFonts w:cs="Times New Roman"/>
        </w:rPr>
        <w:instrText xml:space="preserve"> = 1 \* ROMAN </w:instrText>
      </w:r>
      <w:r>
        <w:rPr>
          <w:rFonts w:cs="Times New Roman"/>
        </w:rPr>
        <w:fldChar w:fldCharType="separate"/>
      </w:r>
      <w:r>
        <w:rPr>
          <w:rFonts w:cs="Times New Roman"/>
        </w:rPr>
        <w:t>I</w:t>
      </w:r>
      <w:r>
        <w:rPr>
          <w:rFonts w:cs="Times New Roman"/>
        </w:rPr>
        <w:fldChar w:fldCharType="end"/>
      </w:r>
      <w:r>
        <w:rPr>
          <w:rFonts w:cs="Times New Roman"/>
        </w:rPr>
        <w:t>级强度分区（低强度区）、</w:t>
      </w:r>
      <w:r>
        <w:rPr>
          <w:rFonts w:cs="Times New Roman"/>
        </w:rPr>
        <w:fldChar w:fldCharType="begin"/>
      </w:r>
      <w:r>
        <w:rPr>
          <w:rFonts w:cs="Times New Roman"/>
        </w:rPr>
        <w:instrText xml:space="preserve"> = 2 \* ROMAN </w:instrText>
      </w:r>
      <w:r>
        <w:rPr>
          <w:rFonts w:cs="Times New Roman"/>
        </w:rPr>
        <w:fldChar w:fldCharType="separate"/>
      </w:r>
      <w:r>
        <w:rPr>
          <w:rFonts w:cs="Times New Roman"/>
        </w:rPr>
        <w:t>II</w:t>
      </w:r>
      <w:r>
        <w:rPr>
          <w:rFonts w:cs="Times New Roman"/>
        </w:rPr>
        <w:fldChar w:fldCharType="end"/>
      </w:r>
      <w:r>
        <w:rPr>
          <w:rFonts w:cs="Times New Roman"/>
        </w:rPr>
        <w:t>级强度分区（中强度区）、</w:t>
      </w:r>
      <w:r>
        <w:rPr>
          <w:rFonts w:cs="Times New Roman"/>
        </w:rPr>
        <w:fldChar w:fldCharType="begin"/>
      </w:r>
      <w:r>
        <w:rPr>
          <w:rFonts w:cs="Times New Roman"/>
        </w:rPr>
        <w:instrText xml:space="preserve"> = 3 \* ROMAN </w:instrText>
      </w:r>
      <w:r>
        <w:rPr>
          <w:rFonts w:cs="Times New Roman"/>
        </w:rPr>
        <w:fldChar w:fldCharType="separate"/>
      </w:r>
      <w:r>
        <w:rPr>
          <w:rFonts w:cs="Times New Roman"/>
        </w:rPr>
        <w:t>III</w:t>
      </w:r>
      <w:r>
        <w:rPr>
          <w:rFonts w:cs="Times New Roman"/>
        </w:rPr>
        <w:fldChar w:fldCharType="end"/>
      </w:r>
      <w:r>
        <w:rPr>
          <w:rFonts w:cs="Times New Roman"/>
        </w:rPr>
        <w:t>级强度分区（较高强度区）、</w:t>
      </w:r>
      <w:r>
        <w:rPr>
          <w:rFonts w:cs="Times New Roman"/>
        </w:rPr>
        <w:fldChar w:fldCharType="begin"/>
      </w:r>
      <w:r>
        <w:rPr>
          <w:rFonts w:cs="Times New Roman"/>
        </w:rPr>
        <w:instrText xml:space="preserve"> = 4 \* ROMAN </w:instrText>
      </w:r>
      <w:r>
        <w:rPr>
          <w:rFonts w:cs="Times New Roman"/>
        </w:rPr>
        <w:fldChar w:fldCharType="separate"/>
      </w:r>
      <w:r>
        <w:rPr>
          <w:rFonts w:cs="Times New Roman"/>
        </w:rPr>
        <w:t>IV</w:t>
      </w:r>
      <w:r>
        <w:rPr>
          <w:rFonts w:cs="Times New Roman"/>
        </w:rPr>
        <w:fldChar w:fldCharType="end"/>
      </w:r>
      <w:r>
        <w:rPr>
          <w:rFonts w:cs="Times New Roman"/>
        </w:rPr>
        <w:t>级强度分区（高强度区）4个开发强度分区。</w:t>
      </w:r>
    </w:p>
    <w:p w14:paraId="0048750A">
      <w:pPr>
        <w:spacing w:line="596" w:lineRule="exact"/>
        <w:ind w:firstLine="640"/>
        <w:rPr>
          <w:rFonts w:cs="Times New Roman"/>
        </w:rPr>
      </w:pPr>
      <w:r>
        <w:rPr>
          <w:rFonts w:cs="Times New Roman"/>
        </w:rPr>
        <w:fldChar w:fldCharType="begin"/>
      </w:r>
      <w:r>
        <w:rPr>
          <w:rFonts w:cs="Times New Roman"/>
        </w:rPr>
        <w:instrText xml:space="preserve"> = 1 \* ROMAN </w:instrText>
      </w:r>
      <w:r>
        <w:rPr>
          <w:rFonts w:cs="Times New Roman"/>
        </w:rPr>
        <w:fldChar w:fldCharType="separate"/>
      </w:r>
      <w:r>
        <w:rPr>
          <w:rFonts w:cs="Times New Roman"/>
        </w:rPr>
        <w:t>I</w:t>
      </w:r>
      <w:r>
        <w:rPr>
          <w:rFonts w:cs="Times New Roman"/>
        </w:rPr>
        <w:fldChar w:fldCharType="end"/>
      </w:r>
      <w:r>
        <w:rPr>
          <w:rFonts w:cs="Times New Roman"/>
        </w:rPr>
        <w:t>级强度分区（低强度区），开发强度控制在1.0及以下，包括体育用地、教育用地（幼儿园、小学、初中等）、特殊用地、市政公用设施用地、绿地广场和停车场等。</w:t>
      </w:r>
    </w:p>
    <w:p w14:paraId="4FF848EE">
      <w:pPr>
        <w:spacing w:line="596" w:lineRule="exact"/>
        <w:ind w:firstLine="640"/>
        <w:rPr>
          <w:rFonts w:cs="Times New Roman"/>
        </w:rPr>
      </w:pPr>
      <w:r>
        <w:rPr>
          <w:rFonts w:cs="Times New Roman"/>
        </w:rPr>
        <w:fldChar w:fldCharType="begin"/>
      </w:r>
      <w:r>
        <w:rPr>
          <w:rFonts w:cs="Times New Roman"/>
        </w:rPr>
        <w:instrText xml:space="preserve"> = 2 \* ROMAN </w:instrText>
      </w:r>
      <w:r>
        <w:rPr>
          <w:rFonts w:cs="Times New Roman"/>
        </w:rPr>
        <w:fldChar w:fldCharType="separate"/>
      </w:r>
      <w:r>
        <w:rPr>
          <w:rFonts w:cs="Times New Roman"/>
        </w:rPr>
        <w:t>II</w:t>
      </w:r>
      <w:r>
        <w:rPr>
          <w:rFonts w:cs="Times New Roman"/>
        </w:rPr>
        <w:fldChar w:fldCharType="end"/>
      </w:r>
      <w:r>
        <w:rPr>
          <w:rFonts w:cs="Times New Roman"/>
        </w:rPr>
        <w:t>级强度分区（中强度区），开发强度控制在1.0-2.0之间，包括居住用地、行政办公用地、文化设施用地、教育用地（高中、高等教育等）、小型商业用地、工业用地等；新建住宅容积率不应超过1.8。</w:t>
      </w:r>
    </w:p>
    <w:p w14:paraId="35BE7F65">
      <w:pPr>
        <w:spacing w:line="596" w:lineRule="exact"/>
        <w:ind w:firstLine="640"/>
        <w:rPr>
          <w:rFonts w:cs="Times New Roman"/>
        </w:rPr>
      </w:pPr>
      <w:r>
        <w:rPr>
          <w:rFonts w:cs="Times New Roman"/>
        </w:rPr>
        <w:fldChar w:fldCharType="begin"/>
      </w:r>
      <w:r>
        <w:rPr>
          <w:rFonts w:cs="Times New Roman"/>
        </w:rPr>
        <w:instrText xml:space="preserve"> = 3 \* ROMAN </w:instrText>
      </w:r>
      <w:r>
        <w:rPr>
          <w:rFonts w:cs="Times New Roman"/>
        </w:rPr>
        <w:fldChar w:fldCharType="separate"/>
      </w:r>
      <w:r>
        <w:rPr>
          <w:rFonts w:cs="Times New Roman"/>
        </w:rPr>
        <w:t>III</w:t>
      </w:r>
      <w:r>
        <w:rPr>
          <w:rFonts w:cs="Times New Roman"/>
        </w:rPr>
        <w:fldChar w:fldCharType="end"/>
      </w:r>
      <w:r>
        <w:rPr>
          <w:rFonts w:cs="Times New Roman"/>
        </w:rPr>
        <w:t>级强度分区（较高强度区），开发强度控制在2.0-3.0之间，主要为一般区域的商务办公、文化娱乐、医疗卫生、综合商业等用地。</w:t>
      </w:r>
    </w:p>
    <w:p w14:paraId="2086DACC">
      <w:pPr>
        <w:spacing w:line="596" w:lineRule="exact"/>
        <w:ind w:firstLine="640"/>
        <w:rPr>
          <w:rFonts w:cs="Times New Roman"/>
        </w:rPr>
      </w:pPr>
      <w:r>
        <w:rPr>
          <w:rFonts w:cs="Times New Roman"/>
        </w:rPr>
        <w:fldChar w:fldCharType="begin"/>
      </w:r>
      <w:r>
        <w:rPr>
          <w:rFonts w:cs="Times New Roman"/>
        </w:rPr>
        <w:instrText xml:space="preserve"> = 4 \* ROMAN </w:instrText>
      </w:r>
      <w:r>
        <w:rPr>
          <w:rFonts w:cs="Times New Roman"/>
        </w:rPr>
        <w:fldChar w:fldCharType="separate"/>
      </w:r>
      <w:r>
        <w:rPr>
          <w:rFonts w:cs="Times New Roman"/>
        </w:rPr>
        <w:t>IV</w:t>
      </w:r>
      <w:r>
        <w:rPr>
          <w:rFonts w:cs="Times New Roman"/>
        </w:rPr>
        <w:fldChar w:fldCharType="end"/>
      </w:r>
      <w:r>
        <w:rPr>
          <w:rFonts w:cs="Times New Roman"/>
        </w:rPr>
        <w:t>级强度分区（高强度区），开发强度控制在3.0以上，主要为高铁门户区、商务中心区以及各片区核心区，以商务办公、综合商业、酒店等具有标志性的公共建筑用地。</w:t>
      </w:r>
    </w:p>
    <w:p w14:paraId="1EE1A0D2">
      <w:pPr>
        <w:pStyle w:val="47"/>
        <w:spacing w:before="0" w:beforeLines="0" w:line="596" w:lineRule="exact"/>
        <w:ind w:firstLine="640"/>
        <w:rPr>
          <w:b w:val="0"/>
        </w:rPr>
      </w:pPr>
      <w:r>
        <w:rPr>
          <w:b w:val="0"/>
        </w:rPr>
        <w:t>中心城区建筑高度控制</w:t>
      </w:r>
    </w:p>
    <w:p w14:paraId="45F221F5">
      <w:pPr>
        <w:spacing w:line="596" w:lineRule="exact"/>
        <w:ind w:firstLine="640"/>
        <w:rPr>
          <w:rFonts w:cs="Times New Roman"/>
        </w:rPr>
      </w:pPr>
      <w:r>
        <w:rPr>
          <w:rFonts w:cs="Times New Roman"/>
        </w:rPr>
        <w:t>规划中心城区建筑高度分为低层区、多层区、中高层区、高层区4个分区。低层区建筑高度不高于9米，主要为绿地广场、市政设施、文物古迹、现状低层住宅、沿街商业。多层区建筑高度控制在9＜H≤18米，主要为学校、工业建筑、行政文化、康体娱乐和多层住宅；新建住宅原则上以6层为主，6层及以下住宅建筑面积占比应不低于70%。中高层区建筑高度控制在18＜H≤27米，主要为中高层住宅、商业设施等。高层区建筑高度控制在80米以内，严禁超高层建筑；新建住宅建筑高度控制在54米以内。</w:t>
      </w:r>
    </w:p>
    <w:p w14:paraId="3FC81524">
      <w:pPr>
        <w:spacing w:line="596" w:lineRule="exact"/>
        <w:ind w:firstLine="640"/>
        <w:rPr>
          <w:rFonts w:cs="Times New Roman"/>
        </w:rPr>
      </w:pPr>
      <w:r>
        <w:rPr>
          <w:rFonts w:cs="Times New Roman"/>
        </w:rPr>
        <w:t>城市天际线与制高点控制。以多层为主、中高层为辅，适度限制高层建筑数量，严禁超高层建筑，形成整体低缓和舒适的中小城市特点的建筑高度和城市天际线。在高铁门户区、商务中心区设置2处城市制高点，限高80米。</w:t>
      </w:r>
    </w:p>
    <w:p w14:paraId="557B86D5">
      <w:pPr>
        <w:pStyle w:val="28"/>
        <w:sectPr>
          <w:pgSz w:w="11906" w:h="16838"/>
          <w:pgMar w:top="1440" w:right="1797" w:bottom="1440" w:left="1797" w:header="851" w:footer="992" w:gutter="0"/>
          <w:cols w:space="425" w:num="1"/>
          <w:docGrid w:type="linesAndChars" w:linePitch="312" w:charSpace="0"/>
        </w:sectPr>
      </w:pPr>
    </w:p>
    <w:p w14:paraId="52B38E7A">
      <w:pPr>
        <w:ind w:firstLine="640"/>
        <w:rPr>
          <w:rFonts w:cs="Times New Roman"/>
        </w:rPr>
      </w:pPr>
      <w:bookmarkStart w:id="241" w:name="_Toc2895"/>
      <w:bookmarkStart w:id="242" w:name="_Toc11796"/>
    </w:p>
    <w:p w14:paraId="1F5874E8">
      <w:pPr>
        <w:pStyle w:val="2"/>
        <w:spacing w:before="200" w:beforeLines="0" w:after="400" w:afterLines="0" w:line="596" w:lineRule="exact"/>
        <w:ind w:left="0"/>
        <w:rPr>
          <w:color w:val="auto"/>
        </w:rPr>
      </w:pPr>
      <w:bookmarkStart w:id="243" w:name="_Toc4861"/>
      <w:r>
        <w:rPr>
          <w:color w:val="auto"/>
        </w:rPr>
        <w:t>高标准</w:t>
      </w:r>
      <w:bookmarkEnd w:id="241"/>
      <w:bookmarkEnd w:id="242"/>
      <w:r>
        <w:rPr>
          <w:color w:val="auto"/>
        </w:rPr>
        <w:t>构建安全韧性的支撑体系</w:t>
      </w:r>
      <w:bookmarkEnd w:id="243"/>
    </w:p>
    <w:p w14:paraId="7E3BF1BB">
      <w:pPr>
        <w:pStyle w:val="3"/>
        <w:numPr>
          <w:ilvl w:val="0"/>
          <w:numId w:val="9"/>
        </w:numPr>
      </w:pPr>
      <w:bookmarkStart w:id="244" w:name="_Toc9834"/>
      <w:bookmarkStart w:id="245" w:name="_Toc7201"/>
      <w:bookmarkStart w:id="246" w:name="_Toc8928"/>
      <w:bookmarkStart w:id="247" w:name="_Toc1966"/>
      <w:bookmarkStart w:id="248" w:name="_Toc26197"/>
      <w:r>
        <w:t>综合交通</w:t>
      </w:r>
      <w:bookmarkEnd w:id="244"/>
      <w:bookmarkEnd w:id="245"/>
      <w:bookmarkEnd w:id="246"/>
    </w:p>
    <w:p w14:paraId="03B24BEA">
      <w:pPr>
        <w:pStyle w:val="47"/>
        <w:spacing w:before="0" w:beforeLines="0" w:line="596" w:lineRule="exact"/>
        <w:ind w:firstLine="640"/>
        <w:rPr>
          <w:b w:val="0"/>
        </w:rPr>
      </w:pPr>
      <w:bookmarkStart w:id="249" w:name="_Toc13335"/>
      <w:r>
        <w:rPr>
          <w:b w:val="0"/>
        </w:rPr>
        <w:t>综合交通发展目标和策略</w:t>
      </w:r>
      <w:bookmarkEnd w:id="247"/>
      <w:bookmarkEnd w:id="248"/>
      <w:bookmarkEnd w:id="249"/>
    </w:p>
    <w:p w14:paraId="28A9C401">
      <w:pPr>
        <w:spacing w:line="596" w:lineRule="exact"/>
        <w:ind w:firstLine="640"/>
        <w:rPr>
          <w:rFonts w:cs="Times New Roman"/>
        </w:rPr>
      </w:pPr>
      <w:r>
        <w:rPr>
          <w:rFonts w:cs="Times New Roman"/>
        </w:rPr>
        <w:t>依托机场、高铁、城铁、高速公路、国省道等重大交通设施，建设“空、公、铁”一体化发展的区域交通枢纽中心和物流中心。</w:t>
      </w:r>
    </w:p>
    <w:p w14:paraId="419C0655">
      <w:pPr>
        <w:pStyle w:val="47"/>
        <w:spacing w:before="0" w:beforeLines="0" w:line="596" w:lineRule="exact"/>
        <w:ind w:firstLine="640"/>
        <w:rPr>
          <w:b w:val="0"/>
        </w:rPr>
      </w:pPr>
      <w:bookmarkStart w:id="250" w:name="_Toc12305"/>
      <w:bookmarkStart w:id="251" w:name="_Toc16106"/>
      <w:r>
        <w:rPr>
          <w:b w:val="0"/>
        </w:rPr>
        <w:t>机场规划</w:t>
      </w:r>
    </w:p>
    <w:p w14:paraId="7E7DF1B0">
      <w:pPr>
        <w:spacing w:line="596" w:lineRule="exact"/>
        <w:ind w:firstLine="640"/>
        <w:rPr>
          <w:rFonts w:cs="Times New Roman"/>
        </w:rPr>
      </w:pPr>
      <w:r>
        <w:rPr>
          <w:rFonts w:cs="Times New Roman"/>
        </w:rPr>
        <w:t>积极落实《河南省通用机场中长期布局规划(2022—2035年)》，</w:t>
      </w:r>
      <w:r>
        <w:rPr>
          <w:rFonts w:cs="Times New Roman"/>
          <w:u w:val="none"/>
        </w:rPr>
        <w:t>规划建设兰考县通用机场1座</w:t>
      </w:r>
      <w:r>
        <w:rPr>
          <w:rFonts w:hint="eastAsia" w:cs="Times New Roman"/>
          <w:u w:val="none"/>
        </w:rPr>
        <w:t>；</w:t>
      </w:r>
      <w:r>
        <w:rPr>
          <w:rFonts w:hint="eastAsia" w:cs="Times New Roman"/>
        </w:rPr>
        <w:t>机场</w:t>
      </w:r>
      <w:r>
        <w:rPr>
          <w:rFonts w:cs="Times New Roman"/>
        </w:rPr>
        <w:t>用地面积预计达到</w:t>
      </w:r>
      <w:r>
        <w:rPr>
          <w:rFonts w:hint="eastAsia" w:cs="Times New Roman"/>
        </w:rPr>
        <w:t>0.5平方千米</w:t>
      </w:r>
      <w:r>
        <w:rPr>
          <w:rFonts w:cs="Times New Roman"/>
        </w:rPr>
        <w:t>。</w:t>
      </w:r>
    </w:p>
    <w:p w14:paraId="58FB66B9">
      <w:pPr>
        <w:pStyle w:val="47"/>
        <w:spacing w:before="0" w:beforeLines="0" w:line="596" w:lineRule="exact"/>
        <w:ind w:firstLine="640"/>
        <w:rPr>
          <w:b w:val="0"/>
        </w:rPr>
      </w:pPr>
      <w:r>
        <w:rPr>
          <w:b w:val="0"/>
        </w:rPr>
        <w:t>铁路规划</w:t>
      </w:r>
    </w:p>
    <w:p w14:paraId="393AAA57">
      <w:pPr>
        <w:spacing w:line="596" w:lineRule="exact"/>
        <w:ind w:firstLine="640"/>
        <w:rPr>
          <w:rFonts w:cs="Times New Roman"/>
          <w:u w:val="none"/>
        </w:rPr>
      </w:pPr>
      <w:r>
        <w:rPr>
          <w:rFonts w:cs="Times New Roman"/>
        </w:rPr>
        <w:t>规划保留陇海铁路与郑徐高铁；</w:t>
      </w:r>
      <w:r>
        <w:rPr>
          <w:rFonts w:cs="Times New Roman"/>
          <w:u w:val="none"/>
        </w:rPr>
        <w:t>建设兰考至菏泽的兰菏高铁，增强与山东半岛的联系；建设开商城际铁路，实现兰考与郑开快速互联互通。</w:t>
      </w:r>
    </w:p>
    <w:p w14:paraId="5D90DCE7">
      <w:pPr>
        <w:pStyle w:val="47"/>
        <w:spacing w:before="0" w:beforeLines="0" w:line="596" w:lineRule="exact"/>
        <w:ind w:firstLine="640"/>
        <w:rPr>
          <w:b w:val="0"/>
        </w:rPr>
      </w:pPr>
      <w:r>
        <w:rPr>
          <w:b w:val="0"/>
        </w:rPr>
        <w:t>公路规划</w:t>
      </w:r>
    </w:p>
    <w:p w14:paraId="35B0D4DD">
      <w:pPr>
        <w:spacing w:line="596" w:lineRule="exact"/>
        <w:ind w:firstLine="640"/>
        <w:rPr>
          <w:rFonts w:cs="Times New Roman"/>
          <w:u w:val="none"/>
        </w:rPr>
      </w:pPr>
      <w:r>
        <w:rPr>
          <w:rFonts w:cs="Times New Roman"/>
        </w:rPr>
        <w:t>规划</w:t>
      </w:r>
      <w:r>
        <w:rPr>
          <w:rFonts w:hint="eastAsia" w:cs="Times New Roman"/>
        </w:rPr>
        <w:t>保留</w:t>
      </w:r>
      <w:r>
        <w:rPr>
          <w:rFonts w:cs="Times New Roman"/>
        </w:rPr>
        <w:t>连霍高速</w:t>
      </w:r>
      <w:r>
        <w:rPr>
          <w:rFonts w:hint="eastAsia" w:cs="Times New Roman"/>
        </w:rPr>
        <w:t>、扩建</w:t>
      </w:r>
      <w:r>
        <w:rPr>
          <w:rFonts w:cs="Times New Roman"/>
        </w:rPr>
        <w:t>日南高速，根据河南省高速路网规划，</w:t>
      </w:r>
      <w:r>
        <w:rPr>
          <w:rFonts w:cs="Times New Roman"/>
          <w:u w:val="none"/>
        </w:rPr>
        <w:t>新增兰原高速和兰沈高速，构建县域“三横一纵”的高速路网；根据</w:t>
      </w:r>
      <w:r>
        <w:rPr>
          <w:rFonts w:hint="eastAsia" w:cs="Times New Roman"/>
          <w:u w:val="none"/>
        </w:rPr>
        <w:t>《河南省旅游公路网规划（2022-2030年）》</w:t>
      </w:r>
      <w:r>
        <w:rPr>
          <w:rFonts w:cs="Times New Roman"/>
          <w:u w:val="none"/>
        </w:rPr>
        <w:t>，推进S312沿黄旅游线路和生态廊道建设。</w:t>
      </w:r>
    </w:p>
    <w:p w14:paraId="3906062E">
      <w:pPr>
        <w:spacing w:line="596" w:lineRule="exact"/>
        <w:ind w:firstLine="640"/>
        <w:rPr>
          <w:rFonts w:cs="Times New Roman"/>
        </w:rPr>
      </w:pPr>
      <w:r>
        <w:rPr>
          <w:rFonts w:cs="Times New Roman"/>
        </w:rPr>
        <w:t>通过国道、省道、县道等主要交通干道建设，构建县域“四横六纵”干线公路网。</w:t>
      </w:r>
    </w:p>
    <w:p w14:paraId="4EABECE0">
      <w:pPr>
        <w:spacing w:line="596" w:lineRule="exact"/>
        <w:ind w:firstLine="640"/>
        <w:rPr>
          <w:rFonts w:cs="Times New Roman"/>
        </w:rPr>
      </w:pPr>
      <w:r>
        <w:rPr>
          <w:rFonts w:cs="Times New Roman"/>
        </w:rPr>
        <w:t>四横：G240保台线、S218兰罗线、S312沿黄线、S059兰赵线。</w:t>
      </w:r>
    </w:p>
    <w:p w14:paraId="0912094E">
      <w:pPr>
        <w:spacing w:line="596" w:lineRule="exact"/>
        <w:ind w:firstLine="640"/>
        <w:rPr>
          <w:rFonts w:cs="Times New Roman"/>
        </w:rPr>
      </w:pPr>
      <w:r>
        <w:rPr>
          <w:rFonts w:cs="Times New Roman"/>
        </w:rPr>
        <w:t>六纵：S218三老线、X004谷爪线至G106东环、X052岳候线、S216兰沈线、X058孟曹线、S214南商线。</w:t>
      </w:r>
    </w:p>
    <w:p w14:paraId="4B84AE43">
      <w:pPr>
        <w:pStyle w:val="47"/>
        <w:spacing w:before="0" w:beforeLines="0" w:line="596" w:lineRule="exact"/>
        <w:ind w:firstLine="640"/>
        <w:rPr>
          <w:b w:val="0"/>
        </w:rPr>
      </w:pPr>
      <w:r>
        <w:rPr>
          <w:b w:val="0"/>
        </w:rPr>
        <w:t>交通站场规划</w:t>
      </w:r>
    </w:p>
    <w:p w14:paraId="0C27FECF">
      <w:pPr>
        <w:spacing w:line="596" w:lineRule="exact"/>
        <w:ind w:firstLine="640"/>
        <w:rPr>
          <w:rFonts w:cs="Times New Roman"/>
        </w:rPr>
      </w:pPr>
      <w:r>
        <w:rPr>
          <w:rFonts w:cs="Times New Roman"/>
        </w:rPr>
        <w:t>对陇海铁路兰考站进行改造，加强其货运站场建设，与保税物流中心结合打造国际陆港和区域性对外交通货运枢纽；适度提升郑徐高铁兰考南站的站台规模，优化提升站前配套建设，积极发展站前经济，带动区域产业经济发展。</w:t>
      </w:r>
    </w:p>
    <w:p w14:paraId="6488B5FA">
      <w:pPr>
        <w:spacing w:line="596" w:lineRule="exact"/>
        <w:ind w:firstLine="640"/>
        <w:rPr>
          <w:rFonts w:cs="Times New Roman"/>
        </w:rPr>
      </w:pPr>
      <w:r>
        <w:rPr>
          <w:rFonts w:cs="Times New Roman"/>
        </w:rPr>
        <w:t>规划保留兰考县汽车站和兰考南汽车站共2处长途汽车客运站。规划在黄河大道与光裕路东南侧新建1处兰考北汽车站，加强与北部乡镇之间的客运交通连接。</w:t>
      </w:r>
    </w:p>
    <w:p w14:paraId="7FEE96DE">
      <w:pPr>
        <w:pStyle w:val="47"/>
        <w:spacing w:before="0" w:beforeLines="0" w:line="596" w:lineRule="exact"/>
        <w:ind w:firstLine="640"/>
        <w:rPr>
          <w:b w:val="0"/>
        </w:rPr>
      </w:pPr>
      <w:r>
        <w:rPr>
          <w:b w:val="0"/>
        </w:rPr>
        <w:t>城乡公交系统规划</w:t>
      </w:r>
    </w:p>
    <w:p w14:paraId="30B6540C">
      <w:pPr>
        <w:spacing w:line="596" w:lineRule="exact"/>
        <w:ind w:firstLine="640"/>
        <w:rPr>
          <w:rFonts w:cs="Times New Roman"/>
        </w:rPr>
      </w:pPr>
      <w:r>
        <w:rPr>
          <w:rFonts w:cs="Times New Roman"/>
        </w:rPr>
        <w:t>保留各乡镇现状客运站，改造升级为汽车客运便捷车站；加强乡村客运站点建设，因地制宜开展农村客运公交化改造工作；与中心城区客运枢纽构建县域“县、乡、村”三级客运一体化运营体系，提升城乡客运基本公共服务均等化水平。</w:t>
      </w:r>
    </w:p>
    <w:p w14:paraId="6CC3B4E7">
      <w:pPr>
        <w:spacing w:line="596" w:lineRule="exact"/>
        <w:ind w:firstLine="640"/>
        <w:rPr>
          <w:rFonts w:cs="Times New Roman"/>
        </w:rPr>
      </w:pPr>
    </w:p>
    <w:p w14:paraId="3A1A4F76">
      <w:pPr>
        <w:spacing w:line="596" w:lineRule="exact"/>
        <w:ind w:firstLine="640"/>
        <w:rPr>
          <w:rFonts w:cs="Times New Roman"/>
        </w:rPr>
      </w:pPr>
    </w:p>
    <w:bookmarkEnd w:id="250"/>
    <w:bookmarkEnd w:id="251"/>
    <w:p w14:paraId="16DC080A">
      <w:pPr>
        <w:pStyle w:val="3"/>
        <w:numPr>
          <w:ilvl w:val="0"/>
          <w:numId w:val="9"/>
        </w:numPr>
      </w:pPr>
      <w:bookmarkStart w:id="252" w:name="_Toc31069"/>
      <w:bookmarkStart w:id="253" w:name="_Toc4748"/>
      <w:bookmarkStart w:id="254" w:name="_Toc29320"/>
      <w:r>
        <w:t>能源水利及市政基础设施</w:t>
      </w:r>
      <w:bookmarkEnd w:id="252"/>
      <w:bookmarkEnd w:id="253"/>
      <w:bookmarkEnd w:id="254"/>
    </w:p>
    <w:p w14:paraId="33FDC55D">
      <w:pPr>
        <w:pStyle w:val="47"/>
        <w:spacing w:before="0" w:beforeLines="0" w:line="596" w:lineRule="exact"/>
        <w:ind w:firstLine="640"/>
        <w:rPr>
          <w:b w:val="0"/>
        </w:rPr>
      </w:pPr>
      <w:bookmarkStart w:id="255" w:name="_Toc14982"/>
      <w:r>
        <w:rPr>
          <w:b w:val="0"/>
        </w:rPr>
        <w:t>供水设施</w:t>
      </w:r>
      <w:bookmarkEnd w:id="255"/>
    </w:p>
    <w:p w14:paraId="077F33DB">
      <w:pPr>
        <w:spacing w:line="596" w:lineRule="exact"/>
        <w:ind w:firstLine="640"/>
        <w:rPr>
          <w:rFonts w:cs="Times New Roman"/>
          <w:szCs w:val="40"/>
        </w:rPr>
      </w:pPr>
      <w:bookmarkStart w:id="256" w:name="_Toc7118"/>
      <w:r>
        <w:rPr>
          <w:rFonts w:cs="Times New Roman"/>
          <w:szCs w:val="40"/>
        </w:rPr>
        <w:t>落实城乡饮用水源地表化要求，加快推进南水北调引水入兰工程建设，实施中心城区地下水源置换，逐步补齐乡村供水短板，远期建立以黄河水</w:t>
      </w:r>
      <w:r>
        <w:rPr>
          <w:rFonts w:hint="eastAsia" w:cs="Times New Roman"/>
          <w:szCs w:val="40"/>
        </w:rPr>
        <w:t>、</w:t>
      </w:r>
      <w:r>
        <w:rPr>
          <w:rFonts w:cs="Times New Roman"/>
          <w:szCs w:val="40"/>
        </w:rPr>
        <w:t>南水北调水为</w:t>
      </w:r>
      <w:r>
        <w:rPr>
          <w:rFonts w:hint="eastAsia" w:cs="Times New Roman"/>
          <w:szCs w:val="40"/>
        </w:rPr>
        <w:t>主要水源的</w:t>
      </w:r>
      <w:r>
        <w:rPr>
          <w:rFonts w:cs="Times New Roman"/>
          <w:szCs w:val="40"/>
        </w:rPr>
        <w:t>供给体系。推进引黄调蓄工程和兰考灌溉用水骨干通道工程建设，增加水资源供给能力和调配能力，保证农业生产用水安全。规划城乡供水厂17座，总供水规模达到40.2万</w:t>
      </w:r>
      <w:r>
        <w:rPr>
          <w:rFonts w:hint="eastAsia" w:cs="Times New Roman"/>
          <w:szCs w:val="40"/>
        </w:rPr>
        <w:t>吨</w:t>
      </w:r>
      <w:r>
        <w:rPr>
          <w:rFonts w:cs="Times New Roman"/>
          <w:szCs w:val="40"/>
        </w:rPr>
        <w:t>/日，至2035年，城镇自来水普及率达到100％，乡村自来水普及率达到98％。</w:t>
      </w:r>
    </w:p>
    <w:p w14:paraId="25787ECB">
      <w:pPr>
        <w:pStyle w:val="47"/>
        <w:spacing w:before="0" w:beforeLines="0" w:line="596" w:lineRule="exact"/>
        <w:ind w:firstLine="640"/>
        <w:rPr>
          <w:b w:val="0"/>
        </w:rPr>
      </w:pPr>
      <w:r>
        <w:rPr>
          <w:b w:val="0"/>
        </w:rPr>
        <w:t>排水设施</w:t>
      </w:r>
      <w:bookmarkEnd w:id="256"/>
    </w:p>
    <w:p w14:paraId="692EC920">
      <w:pPr>
        <w:spacing w:line="596" w:lineRule="exact"/>
        <w:ind w:firstLine="640"/>
        <w:rPr>
          <w:rFonts w:cs="Times New Roman"/>
          <w:szCs w:val="40"/>
        </w:rPr>
      </w:pPr>
      <w:r>
        <w:rPr>
          <w:rFonts w:cs="Times New Roman"/>
          <w:szCs w:val="40"/>
          <w:u w:val="none"/>
        </w:rPr>
        <w:t>中心城区和镇区</w:t>
      </w:r>
      <w:r>
        <w:rPr>
          <w:rFonts w:hint="eastAsia" w:cs="Times New Roman"/>
          <w:szCs w:val="40"/>
          <w:u w:val="none"/>
        </w:rPr>
        <w:t>（乡集镇区）</w:t>
      </w:r>
      <w:r>
        <w:rPr>
          <w:rFonts w:cs="Times New Roman"/>
          <w:szCs w:val="40"/>
          <w:u w:val="none"/>
        </w:rPr>
        <w:t>排水体制采取雨污分流制</w:t>
      </w:r>
      <w:r>
        <w:rPr>
          <w:rFonts w:cs="Times New Roman"/>
          <w:szCs w:val="40"/>
        </w:rPr>
        <w:t>。城镇地区因地制宜，合理划分排水分区，建设海绵城市、雨水管网和泵站系统；农村地区采用生态方式实现雨水径流的滞蓄和净化。</w:t>
      </w:r>
    </w:p>
    <w:p w14:paraId="1E6EBA0B">
      <w:pPr>
        <w:spacing w:line="596" w:lineRule="exact"/>
        <w:ind w:firstLine="640"/>
        <w:rPr>
          <w:rFonts w:cs="Times New Roman"/>
          <w:szCs w:val="40"/>
        </w:rPr>
      </w:pPr>
      <w:bookmarkStart w:id="257" w:name="_Toc13779"/>
      <w:bookmarkStart w:id="258" w:name="_Toc31654"/>
      <w:r>
        <w:rPr>
          <w:rFonts w:cs="Times New Roman"/>
          <w:szCs w:val="40"/>
        </w:rPr>
        <w:t>污水收集与处理。规划城镇地区污水通过污水收集管网和污水处理厂进行集中式收集与处理，农村地区污水结合实际采用集中式或分散式相结合进行处理。规划污水量按照城乡生活和工业用水量的80%计算，至2035年县域污水总量为28万立方米/日；城镇地区污水管网覆盖率、污水收集处理率达到100%；农村地区污水管网覆盖率达95%以上。</w:t>
      </w:r>
    </w:p>
    <w:p w14:paraId="31F0CB96">
      <w:pPr>
        <w:spacing w:line="596" w:lineRule="exact"/>
        <w:ind w:firstLine="640"/>
        <w:rPr>
          <w:rFonts w:cs="Times New Roman"/>
          <w:szCs w:val="40"/>
        </w:rPr>
      </w:pPr>
      <w:bookmarkStart w:id="259" w:name="_Toc23476"/>
      <w:bookmarkStart w:id="260" w:name="_Toc27555"/>
      <w:r>
        <w:rPr>
          <w:rFonts w:hint="eastAsia" w:cs="Times New Roman"/>
          <w:szCs w:val="40"/>
        </w:rPr>
        <w:t>县域</w:t>
      </w:r>
      <w:r>
        <w:rPr>
          <w:rFonts w:cs="Times New Roman"/>
          <w:szCs w:val="40"/>
        </w:rPr>
        <w:t>污水处理设施。规划各乡镇保留和扩建现状7个污水处理厂，新建5个乡镇污水厂。采用集中式的村庄宜建设小型污水处理站对污水进行收集处理后统一排放；分散式可采用三格化粪池、双层沉淀池等简易设施。</w:t>
      </w:r>
    </w:p>
    <w:p w14:paraId="07EF42BE">
      <w:pPr>
        <w:spacing w:line="596" w:lineRule="exact"/>
        <w:ind w:firstLine="640"/>
        <w:rPr>
          <w:rFonts w:cs="Times New Roman"/>
          <w:szCs w:val="40"/>
        </w:rPr>
      </w:pPr>
      <w:r>
        <w:rPr>
          <w:rFonts w:hint="eastAsia" w:cs="Times New Roman"/>
          <w:szCs w:val="40"/>
        </w:rPr>
        <w:t>中心城区</w:t>
      </w:r>
      <w:r>
        <w:rPr>
          <w:rFonts w:cs="Times New Roman"/>
          <w:szCs w:val="40"/>
        </w:rPr>
        <w:t>污水处理设施。中心城区保留</w:t>
      </w:r>
      <w:r>
        <w:rPr>
          <w:rFonts w:hint="eastAsia" w:cs="Times New Roman"/>
          <w:szCs w:val="40"/>
        </w:rPr>
        <w:t>并</w:t>
      </w:r>
      <w:r>
        <w:rPr>
          <w:rFonts w:cs="Times New Roman"/>
          <w:szCs w:val="40"/>
        </w:rPr>
        <w:t>扩建城市生活污水处理厂、第二污水处理厂</w:t>
      </w:r>
      <w:r>
        <w:rPr>
          <w:rFonts w:hint="eastAsia" w:cs="Times New Roman"/>
          <w:szCs w:val="40"/>
        </w:rPr>
        <w:t>、</w:t>
      </w:r>
      <w:r>
        <w:rPr>
          <w:rFonts w:cs="Times New Roman"/>
          <w:szCs w:val="40"/>
        </w:rPr>
        <w:t>第三污水处理厂</w:t>
      </w:r>
      <w:r>
        <w:rPr>
          <w:rFonts w:hint="eastAsia" w:cs="Times New Roman"/>
          <w:szCs w:val="40"/>
        </w:rPr>
        <w:t>和</w:t>
      </w:r>
      <w:r>
        <w:rPr>
          <w:rFonts w:cs="Times New Roman"/>
          <w:szCs w:val="40"/>
        </w:rPr>
        <w:t>城市工业（经开区）污水处理厂4个污水处理厂</w:t>
      </w:r>
      <w:r>
        <w:rPr>
          <w:rFonts w:hint="eastAsia" w:cs="Times New Roman"/>
          <w:szCs w:val="40"/>
        </w:rPr>
        <w:t>，</w:t>
      </w:r>
      <w:r>
        <w:rPr>
          <w:rFonts w:cs="Times New Roman"/>
          <w:szCs w:val="40"/>
        </w:rPr>
        <w:t>污水</w:t>
      </w:r>
      <w:r>
        <w:rPr>
          <w:rFonts w:hint="eastAsia" w:cs="Times New Roman"/>
          <w:szCs w:val="40"/>
        </w:rPr>
        <w:t>处理</w:t>
      </w:r>
      <w:r>
        <w:rPr>
          <w:rFonts w:cs="Times New Roman"/>
          <w:szCs w:val="40"/>
        </w:rPr>
        <w:t>规模分别为</w:t>
      </w:r>
      <w:r>
        <w:rPr>
          <w:rFonts w:hint="eastAsia" w:cs="Times New Roman"/>
          <w:szCs w:val="40"/>
        </w:rPr>
        <w:t>5</w:t>
      </w:r>
      <w:r>
        <w:rPr>
          <w:rFonts w:cs="Times New Roman"/>
          <w:szCs w:val="40"/>
        </w:rPr>
        <w:t>万吨/日</w:t>
      </w:r>
      <w:r>
        <w:rPr>
          <w:rFonts w:hint="eastAsia" w:cs="Times New Roman"/>
          <w:szCs w:val="40"/>
        </w:rPr>
        <w:t>、5</w:t>
      </w:r>
      <w:r>
        <w:rPr>
          <w:rFonts w:cs="Times New Roman"/>
          <w:szCs w:val="40"/>
        </w:rPr>
        <w:t>万吨/日</w:t>
      </w:r>
      <w:r>
        <w:rPr>
          <w:rFonts w:hint="eastAsia" w:cs="Times New Roman"/>
          <w:szCs w:val="40"/>
        </w:rPr>
        <w:t>、5</w:t>
      </w:r>
      <w:r>
        <w:rPr>
          <w:rFonts w:cs="Times New Roman"/>
          <w:szCs w:val="40"/>
        </w:rPr>
        <w:t>万吨/日</w:t>
      </w:r>
      <w:r>
        <w:rPr>
          <w:rFonts w:hint="eastAsia" w:cs="Times New Roman"/>
          <w:szCs w:val="40"/>
        </w:rPr>
        <w:t>和</w:t>
      </w:r>
      <w:r>
        <w:rPr>
          <w:rFonts w:cs="Times New Roman"/>
          <w:szCs w:val="40"/>
        </w:rPr>
        <w:t>8万吨/日</w:t>
      </w:r>
      <w:r>
        <w:rPr>
          <w:rFonts w:hint="eastAsia" w:cs="Times New Roman"/>
          <w:szCs w:val="40"/>
        </w:rPr>
        <w:t>。</w:t>
      </w:r>
    </w:p>
    <w:p w14:paraId="1CF436F5">
      <w:pPr>
        <w:spacing w:line="596" w:lineRule="exact"/>
        <w:ind w:firstLine="640"/>
        <w:rPr>
          <w:rFonts w:cs="Times New Roman"/>
          <w:szCs w:val="40"/>
          <w:u w:val="none"/>
        </w:rPr>
      </w:pPr>
      <w:r>
        <w:rPr>
          <w:rFonts w:hint="eastAsia" w:cs="Times New Roman"/>
          <w:szCs w:val="40"/>
        </w:rPr>
        <w:t>规划中心</w:t>
      </w:r>
      <w:r>
        <w:rPr>
          <w:rFonts w:cs="Times New Roman"/>
          <w:szCs w:val="40"/>
        </w:rPr>
        <w:t>城区</w:t>
      </w:r>
      <w:r>
        <w:rPr>
          <w:rFonts w:hint="eastAsia" w:cs="Times New Roman"/>
          <w:szCs w:val="40"/>
        </w:rPr>
        <w:t>雨水排放采用短距离、多出口、分散就近的排放原则，以兰阳河、四干渠、清涧河、青阳河、浚仪河、迎宾河、饮泉河等河流为主要排水渠道，分为7个雨水分区。</w:t>
      </w:r>
      <w:r>
        <w:rPr>
          <w:rFonts w:hint="eastAsia"/>
          <w:u w:val="none"/>
        </w:rPr>
        <w:t>新建</w:t>
      </w:r>
      <w:r>
        <w:rPr>
          <w:rFonts w:hint="eastAsia" w:cs="Times New Roman"/>
          <w:szCs w:val="40"/>
          <w:u w:val="none"/>
        </w:rPr>
        <w:t>雨水管道及其附属设施暴雨重现期不应小于3年一遇，对应小时降雨量42.27毫米；</w:t>
      </w:r>
      <w:r>
        <w:rPr>
          <w:rFonts w:hint="eastAsia"/>
          <w:u w:val="none"/>
        </w:rPr>
        <w:t>重要地区雨水管渠</w:t>
      </w:r>
      <w:r>
        <w:rPr>
          <w:rFonts w:hint="eastAsia" w:cs="Times New Roman"/>
          <w:szCs w:val="40"/>
          <w:u w:val="none"/>
        </w:rPr>
        <w:t>暴雨</w:t>
      </w:r>
      <w:r>
        <w:rPr>
          <w:rFonts w:hint="eastAsia"/>
          <w:u w:val="none"/>
        </w:rPr>
        <w:t>重现期不小于5年一遇，对应小时降雨量46.70</w:t>
      </w:r>
      <w:r>
        <w:rPr>
          <w:rFonts w:hint="eastAsia" w:cs="Times New Roman"/>
          <w:szCs w:val="40"/>
          <w:u w:val="none"/>
        </w:rPr>
        <w:t>毫米；下穿立交、地下通道和下沉式广场的暴雨重现期不小于20年一遇，对应小时降雨量58.72毫米；</w:t>
      </w:r>
      <w:r>
        <w:rPr>
          <w:rFonts w:hint="eastAsia"/>
          <w:u w:val="none"/>
        </w:rPr>
        <w:t>雨水泵站的设计重现期不应低于最末端雨水管渠的标准。</w:t>
      </w:r>
    </w:p>
    <w:p w14:paraId="190E8207">
      <w:pPr>
        <w:pStyle w:val="47"/>
        <w:spacing w:before="0" w:beforeLines="0" w:line="596" w:lineRule="exact"/>
        <w:ind w:firstLine="640"/>
        <w:rPr>
          <w:b w:val="0"/>
        </w:rPr>
      </w:pPr>
      <w:r>
        <w:rPr>
          <w:b w:val="0"/>
        </w:rPr>
        <w:t>再生水</w:t>
      </w:r>
      <w:bookmarkEnd w:id="259"/>
      <w:r>
        <w:rPr>
          <w:b w:val="0"/>
        </w:rPr>
        <w:t>设施</w:t>
      </w:r>
      <w:bookmarkEnd w:id="260"/>
    </w:p>
    <w:p w14:paraId="59B4D231">
      <w:pPr>
        <w:spacing w:line="596" w:lineRule="exact"/>
        <w:ind w:firstLine="640"/>
        <w:rPr>
          <w:rFonts w:cs="Times New Roman"/>
          <w:szCs w:val="40"/>
        </w:rPr>
      </w:pPr>
      <w:r>
        <w:rPr>
          <w:rFonts w:cs="Times New Roman"/>
          <w:szCs w:val="40"/>
        </w:rPr>
        <w:t>规划扩建城市生活污水处理厂、第二污水处理厂配套的再生水厂；规划结合第三污水处理厂、城市工业（经开区）污水处理厂新建2座再生水厂。完善再生水管网系统，实现再生水“高品质、多用途”的利用</w:t>
      </w:r>
      <w:r>
        <w:rPr>
          <w:rFonts w:hint="eastAsia" w:cs="Times New Roman"/>
          <w:szCs w:val="40"/>
          <w:lang w:eastAsia="zh-CN"/>
        </w:rPr>
        <w:t>，</w:t>
      </w:r>
      <w:r>
        <w:rPr>
          <w:rFonts w:hint="eastAsia" w:cs="Times New Roman"/>
          <w:szCs w:val="40"/>
          <w:lang w:val="en-US" w:eastAsia="zh-CN"/>
        </w:rPr>
        <w:t>提高</w:t>
      </w:r>
      <w:r>
        <w:rPr>
          <w:rFonts w:cs="Times New Roman"/>
          <w:szCs w:val="40"/>
        </w:rPr>
        <w:t>城市中水利用率。</w:t>
      </w:r>
    </w:p>
    <w:p w14:paraId="3EA6FE33">
      <w:pPr>
        <w:pStyle w:val="47"/>
        <w:spacing w:before="0" w:beforeLines="0" w:line="596" w:lineRule="exact"/>
        <w:ind w:firstLine="640"/>
        <w:rPr>
          <w:b w:val="0"/>
        </w:rPr>
      </w:pPr>
      <w:bookmarkStart w:id="261" w:name="_Toc1721"/>
      <w:bookmarkStart w:id="262" w:name="_Toc717"/>
      <w:r>
        <w:rPr>
          <w:b w:val="0"/>
        </w:rPr>
        <w:t>供电</w:t>
      </w:r>
      <w:bookmarkEnd w:id="261"/>
      <w:r>
        <w:rPr>
          <w:b w:val="0"/>
        </w:rPr>
        <w:t>设施</w:t>
      </w:r>
      <w:bookmarkEnd w:id="262"/>
    </w:p>
    <w:p w14:paraId="3238E1A9">
      <w:pPr>
        <w:spacing w:line="596" w:lineRule="exact"/>
        <w:ind w:firstLine="640"/>
        <w:rPr>
          <w:rFonts w:cs="Times New Roman"/>
          <w:szCs w:val="40"/>
        </w:rPr>
      </w:pPr>
      <w:r>
        <w:rPr>
          <w:rFonts w:cs="Times New Roman"/>
          <w:szCs w:val="40"/>
        </w:rPr>
        <w:t>全面推进兰考县智能电网建设，加强城乡增量配电网建设，改造升级行政村电网，保障高标准农田配套高压用电需求，完善充换电基础设施建设，构建安全可靠的供电体系。</w:t>
      </w:r>
    </w:p>
    <w:p w14:paraId="774D14BF">
      <w:pPr>
        <w:spacing w:line="596" w:lineRule="exact"/>
        <w:ind w:firstLine="640"/>
        <w:rPr>
          <w:rFonts w:cs="Times New Roman"/>
          <w:sz w:val="30"/>
          <w:szCs w:val="30"/>
        </w:rPr>
      </w:pPr>
      <w:bookmarkStart w:id="263" w:name="_Toc17473"/>
      <w:r>
        <w:rPr>
          <w:rFonts w:cs="Times New Roman"/>
        </w:rPr>
        <w:t>至2035年，规划形成以220kV变电站及线路为主网架，以110kV、35kV、10kV变电站及线路为配电网的电网结构。规划220kV区域变电站4座，总变电容量2160MVA，其中保留现状景文变，扩建姜楼变和兰考东变，新建兰考北变。规划110kV变电站24座，其中保留现状11座110kV变电站，并对其中6座进行扩容改造；新建110kV变电站8座，分别为南郊变、李楼变、华梁变、朝阳（韩村）变、学院变、胜利变、葡萄（兰仪）变、广源变；规划对现状坝头变、</w:t>
      </w:r>
      <w:r>
        <w:rPr>
          <w:rFonts w:hint="eastAsia" w:ascii="仿宋" w:hAnsi="仿宋" w:eastAsia="仿宋" w:cs="仿宋"/>
        </w:rPr>
        <w:t>堌阳镇</w:t>
      </w:r>
      <w:r>
        <w:rPr>
          <w:rFonts w:cs="Times New Roman"/>
        </w:rPr>
        <w:t>变、许河台变、孟寨变4座35kV变电站改造升级为110kV变电站；规划重建油田110kV变电站。规划35kV变电站3座，其中保留现状2座、新建1座。强化220kV、110kV、35kV高压走廊管控，高压走廊宽度分别控制在40</w:t>
      </w:r>
      <w:r>
        <w:rPr>
          <w:rFonts w:hint="eastAsia" w:ascii="仿宋_GB2312" w:cs="Times New Roman"/>
        </w:rPr>
        <w:t>-</w:t>
      </w:r>
      <w:r>
        <w:rPr>
          <w:rFonts w:cs="Times New Roman"/>
        </w:rPr>
        <w:t>45米、25</w:t>
      </w:r>
      <w:r>
        <w:rPr>
          <w:rFonts w:hint="eastAsia" w:ascii="仿宋_GB2312" w:cs="Times New Roman"/>
        </w:rPr>
        <w:t>-</w:t>
      </w:r>
      <w:r>
        <w:rPr>
          <w:rFonts w:cs="Times New Roman"/>
        </w:rPr>
        <w:t>30米和20</w:t>
      </w:r>
      <w:r>
        <w:rPr>
          <w:rFonts w:hint="eastAsia" w:ascii="仿宋_GB2312" w:cs="Times New Roman"/>
        </w:rPr>
        <w:t>-</w:t>
      </w:r>
      <w:r>
        <w:rPr>
          <w:rFonts w:cs="Times New Roman"/>
        </w:rPr>
        <w:t>25米。</w:t>
      </w:r>
    </w:p>
    <w:p w14:paraId="08C50548">
      <w:pPr>
        <w:pStyle w:val="47"/>
        <w:spacing w:before="0" w:beforeLines="0" w:line="596" w:lineRule="exact"/>
        <w:ind w:firstLine="640"/>
        <w:rPr>
          <w:b w:val="0"/>
        </w:rPr>
      </w:pPr>
      <w:r>
        <w:rPr>
          <w:b w:val="0"/>
        </w:rPr>
        <w:t>燃气设施</w:t>
      </w:r>
      <w:bookmarkEnd w:id="263"/>
    </w:p>
    <w:p w14:paraId="4F8AA220">
      <w:pPr>
        <w:spacing w:line="596" w:lineRule="exact"/>
        <w:ind w:firstLine="640"/>
        <w:rPr>
          <w:rFonts w:cs="Times New Roman"/>
          <w:szCs w:val="40"/>
        </w:rPr>
      </w:pPr>
      <w:r>
        <w:rPr>
          <w:rFonts w:cs="Times New Roman"/>
          <w:szCs w:val="40"/>
        </w:rPr>
        <w:t>构建以管道天然气为主、生物天然气和液化石油气为辅的多源体系，着力实现“气化兰考”目标；至2035年实现天然气全域覆盖，天然气普及率达到95%以上，其中城镇地区天然气普及率达到100%、乡村地区天然气普及率达到90%</w:t>
      </w:r>
      <w:r>
        <w:rPr>
          <w:rFonts w:hint="eastAsia" w:cs="Times New Roman"/>
          <w:szCs w:val="40"/>
          <w:lang w:eastAsia="zh-CN"/>
        </w:rPr>
        <w:t>。</w:t>
      </w:r>
      <w:r>
        <w:rPr>
          <w:rFonts w:cs="Times New Roman"/>
          <w:szCs w:val="40"/>
        </w:rPr>
        <w:t>管道天然气以西气东输二线中石油平泰支线和中石化中原-开封天然气输气管线为气源；县域共规划4座天然气分输站，2座天然气门站和5座乡镇天然气调压站。</w:t>
      </w:r>
    </w:p>
    <w:p w14:paraId="5FEF05C2">
      <w:pPr>
        <w:pStyle w:val="47"/>
        <w:spacing w:before="0" w:beforeLines="0" w:line="596" w:lineRule="exact"/>
        <w:ind w:firstLine="640"/>
        <w:rPr>
          <w:b w:val="0"/>
        </w:rPr>
      </w:pPr>
      <w:bookmarkStart w:id="264" w:name="_Toc23103"/>
      <w:bookmarkStart w:id="265" w:name="_Toc11791"/>
      <w:r>
        <w:rPr>
          <w:b w:val="0"/>
        </w:rPr>
        <w:t>供热设施</w:t>
      </w:r>
      <w:bookmarkEnd w:id="264"/>
      <w:bookmarkEnd w:id="265"/>
    </w:p>
    <w:p w14:paraId="367A764F">
      <w:pPr>
        <w:pStyle w:val="66"/>
      </w:pPr>
      <w:r>
        <w:rPr>
          <w:rFonts w:hint="eastAsia"/>
        </w:rPr>
        <w:t>中心</w:t>
      </w:r>
      <w:r>
        <w:t>城区采用多热源方式保障城市集中供热的实施，规划采用瑞华环保电力、光大垃圾焚烧发电厂及地下热源作为供热热源，地下热源</w:t>
      </w:r>
      <w:r>
        <w:rPr>
          <w:szCs w:val="24"/>
        </w:rPr>
        <w:t>以4个热源井和</w:t>
      </w:r>
      <w:r>
        <w:rPr>
          <w:rFonts w:hint="eastAsia"/>
          <w:szCs w:val="24"/>
        </w:rPr>
        <w:t>1</w:t>
      </w:r>
      <w:r>
        <w:rPr>
          <w:szCs w:val="24"/>
        </w:rPr>
        <w:t>个供热站作为地下供热的</w:t>
      </w:r>
      <w:r>
        <w:rPr>
          <w:rFonts w:hint="eastAsia"/>
          <w:szCs w:val="24"/>
        </w:rPr>
        <w:t>1</w:t>
      </w:r>
      <w:r>
        <w:rPr>
          <w:szCs w:val="24"/>
        </w:rPr>
        <w:t>组供热单元。至2035年兰考县中心城区供暖覆盖率达到100%。</w:t>
      </w:r>
    </w:p>
    <w:p w14:paraId="638B008D">
      <w:pPr>
        <w:pStyle w:val="29"/>
        <w:spacing w:after="0" w:line="596" w:lineRule="exact"/>
        <w:ind w:firstLine="640"/>
        <w:rPr>
          <w:rFonts w:ascii="Times New Roman" w:hAnsi="Times New Roman" w:cs="Times New Roman"/>
          <w:szCs w:val="32"/>
        </w:rPr>
      </w:pPr>
      <w:r>
        <w:rPr>
          <w:rFonts w:ascii="Times New Roman" w:hAnsi="Times New Roman" w:cs="Times New Roman"/>
        </w:rPr>
        <w:t>加强乡镇区供热设施建设。规划各乡镇区以地热作为供热热源，每个乡镇区建设1</w:t>
      </w:r>
      <w:r>
        <w:rPr>
          <w:rFonts w:hint="eastAsia" w:ascii="仿宋_GB2312" w:hAnsi="Times New Roman" w:cs="Times New Roman"/>
        </w:rPr>
        <w:t>-</w:t>
      </w:r>
      <w:r>
        <w:rPr>
          <w:rFonts w:ascii="Times New Roman" w:hAnsi="Times New Roman" w:cs="Times New Roman"/>
        </w:rPr>
        <w:t>2组地热供热单元，加强敷设供热管网，至2035年实现乡镇区供热全覆盖。</w:t>
      </w:r>
    </w:p>
    <w:p w14:paraId="55C7EB57">
      <w:pPr>
        <w:pStyle w:val="47"/>
        <w:spacing w:before="0" w:beforeLines="0" w:line="596" w:lineRule="exact"/>
        <w:ind w:firstLine="640"/>
        <w:rPr>
          <w:b w:val="0"/>
        </w:rPr>
      </w:pPr>
      <w:r>
        <w:rPr>
          <w:b w:val="0"/>
        </w:rPr>
        <w:t>环卫</w:t>
      </w:r>
      <w:bookmarkEnd w:id="257"/>
      <w:r>
        <w:rPr>
          <w:b w:val="0"/>
        </w:rPr>
        <w:t>设施</w:t>
      </w:r>
      <w:bookmarkEnd w:id="258"/>
    </w:p>
    <w:p w14:paraId="12B4A47D">
      <w:pPr>
        <w:spacing w:line="596" w:lineRule="exact"/>
        <w:ind w:firstLine="640"/>
        <w:rPr>
          <w:rFonts w:cs="Times New Roman"/>
        </w:rPr>
      </w:pPr>
      <w:r>
        <w:rPr>
          <w:rFonts w:cs="Times New Roman"/>
        </w:rPr>
        <w:t>构建“分类投放、收集、运输和处理”的城市环卫体系，健全“村收集、乡转运、县处理”的乡村环卫机制。规划垃圾焚烧发电厂1座（陇海路与东泰路交汇处）；规划垃圾处理场1座（城区东5公里、仪封产业园南侧）；每个乡镇设置1</w:t>
      </w:r>
      <w:r>
        <w:rPr>
          <w:rFonts w:hint="eastAsia" w:cs="Times New Roman"/>
        </w:rPr>
        <w:t>-</w:t>
      </w:r>
      <w:r>
        <w:rPr>
          <w:rFonts w:cs="Times New Roman"/>
        </w:rPr>
        <w:t>2座垃圾转运站，规划乡镇垃圾转运站17座，其中现状5座，新增12座。加强城乡垃圾收集站点、公共厕所、环卫机构等环卫设施建设，完善环卫体系，提高处理能力，建设</w:t>
      </w:r>
      <w:r>
        <w:rPr>
          <w:rFonts w:hint="eastAsia" w:cs="Times New Roman"/>
        </w:rPr>
        <w:t>“</w:t>
      </w:r>
      <w:r>
        <w:rPr>
          <w:rFonts w:cs="Times New Roman"/>
        </w:rPr>
        <w:t>无废城市</w:t>
      </w:r>
      <w:r>
        <w:rPr>
          <w:rFonts w:hint="eastAsia" w:cs="Times New Roman"/>
        </w:rPr>
        <w:t>”</w:t>
      </w:r>
      <w:r>
        <w:rPr>
          <w:rFonts w:cs="Times New Roman"/>
        </w:rPr>
        <w:t>。</w:t>
      </w:r>
    </w:p>
    <w:p w14:paraId="010F2EF9">
      <w:pPr>
        <w:pStyle w:val="3"/>
        <w:numPr>
          <w:ilvl w:val="0"/>
          <w:numId w:val="9"/>
        </w:numPr>
      </w:pPr>
      <w:bookmarkStart w:id="266" w:name="_Toc10724"/>
      <w:bookmarkStart w:id="267" w:name="_Toc22012"/>
      <w:bookmarkStart w:id="268" w:name="_Toc8284"/>
      <w:r>
        <w:t>安全韧性与综合防灾</w:t>
      </w:r>
      <w:bookmarkEnd w:id="266"/>
      <w:bookmarkEnd w:id="267"/>
      <w:bookmarkEnd w:id="268"/>
    </w:p>
    <w:p w14:paraId="07146DF1">
      <w:pPr>
        <w:pStyle w:val="47"/>
        <w:spacing w:before="0" w:beforeLines="0" w:line="596" w:lineRule="exact"/>
        <w:ind w:firstLine="640"/>
        <w:rPr>
          <w:b w:val="0"/>
        </w:rPr>
      </w:pPr>
      <w:bookmarkStart w:id="269" w:name="_Toc4431"/>
      <w:bookmarkStart w:id="270" w:name="_Toc14221"/>
      <w:bookmarkStart w:id="271" w:name="_Toc12476"/>
      <w:r>
        <w:rPr>
          <w:b w:val="0"/>
        </w:rPr>
        <w:t>综合防灾减灾目标</w:t>
      </w:r>
    </w:p>
    <w:p w14:paraId="234658E7">
      <w:pPr>
        <w:spacing w:line="596" w:lineRule="exact"/>
        <w:ind w:firstLine="640"/>
        <w:rPr>
          <w:rFonts w:eastAsia="仿宋" w:cs="Times New Roman"/>
          <w:szCs w:val="40"/>
        </w:rPr>
      </w:pPr>
      <w:r>
        <w:rPr>
          <w:rFonts w:cs="Times New Roman"/>
          <w:szCs w:val="40"/>
        </w:rPr>
        <w:t>加强韧性城市建设，建立完善的多灾种综合监测预报预警系统，提高重要基础设施和基本公共服务设施的灾害设防水平，不断提升城市风险防控能力，确保自然灾害发生12小时之内</w:t>
      </w:r>
      <w:r>
        <w:rPr>
          <w:rFonts w:hint="eastAsia" w:cs="Times New Roman"/>
          <w:szCs w:val="40"/>
        </w:rPr>
        <w:t>受灾</w:t>
      </w:r>
      <w:r>
        <w:rPr>
          <w:rFonts w:cs="Times New Roman"/>
          <w:szCs w:val="40"/>
        </w:rPr>
        <w:t>人员基本生活得到有效救助，</w:t>
      </w:r>
      <w:r>
        <w:rPr>
          <w:rStyle w:val="85"/>
          <w:rFonts w:hint="eastAsia" w:ascii="仿宋_GB2312" w:hAnsi="Times New Roman" w:eastAsia="仿宋_GB2312" w:cs="Times New Roman"/>
          <w:color w:val="auto"/>
        </w:rPr>
        <w:t>公民减灾意识和技能显著增强。</w:t>
      </w:r>
    </w:p>
    <w:bookmarkEnd w:id="269"/>
    <w:bookmarkEnd w:id="270"/>
    <w:bookmarkEnd w:id="271"/>
    <w:p w14:paraId="1A1E845C">
      <w:pPr>
        <w:pStyle w:val="47"/>
        <w:spacing w:before="0" w:beforeLines="0" w:line="596" w:lineRule="exact"/>
        <w:ind w:firstLine="640"/>
        <w:rPr>
          <w:b w:val="0"/>
        </w:rPr>
      </w:pPr>
      <w:r>
        <w:rPr>
          <w:b w:val="0"/>
        </w:rPr>
        <w:t>防洪排涝规划</w:t>
      </w:r>
    </w:p>
    <w:p w14:paraId="78BA87D4">
      <w:pPr>
        <w:spacing w:line="596" w:lineRule="exact"/>
        <w:ind w:firstLine="640"/>
        <w:rPr>
          <w:rFonts w:cs="Times New Roman"/>
          <w:szCs w:val="32"/>
        </w:rPr>
      </w:pPr>
      <w:r>
        <w:rPr>
          <w:rFonts w:cs="Times New Roman"/>
          <w:szCs w:val="40"/>
        </w:rPr>
        <w:t>构建流域防洪排涝体系。按照区域防洪要求，加强防洪设施建设</w:t>
      </w:r>
      <w:r>
        <w:rPr>
          <w:rFonts w:hint="eastAsia" w:cs="Times New Roman"/>
          <w:szCs w:val="40"/>
          <w:lang w:eastAsia="zh-CN"/>
        </w:rPr>
        <w:t>。</w:t>
      </w:r>
      <w:r>
        <w:rPr>
          <w:rFonts w:cs="Times New Roman"/>
          <w:szCs w:val="40"/>
        </w:rPr>
        <w:t>以“四水同治”战略为引领，通过引黄调蓄工程的建设、堤防的维护加固等提升防洪能力，同时实行智慧防洪等非工程措施</w:t>
      </w:r>
      <w:r>
        <w:rPr>
          <w:rFonts w:cs="Times New Roman"/>
          <w:szCs w:val="32"/>
        </w:rPr>
        <w:t>。为保障黄河保护治理工</w:t>
      </w:r>
      <w:r>
        <w:rPr>
          <w:rFonts w:hint="eastAsia" w:cs="Times New Roman"/>
          <w:szCs w:val="32"/>
        </w:rPr>
        <w:t>程</w:t>
      </w:r>
      <w:r>
        <w:rPr>
          <w:rFonts w:cs="Times New Roman"/>
          <w:szCs w:val="32"/>
        </w:rPr>
        <w:t>建设，预留《黄河流域生态保护和高</w:t>
      </w:r>
      <w:r>
        <w:rPr>
          <w:rFonts w:hint="eastAsia" w:cs="Times New Roman"/>
          <w:szCs w:val="32"/>
        </w:rPr>
        <w:t>质</w:t>
      </w:r>
      <w:r>
        <w:rPr>
          <w:rFonts w:cs="Times New Roman"/>
          <w:szCs w:val="32"/>
        </w:rPr>
        <w:t>量发展规划纲要》、《黄河</w:t>
      </w:r>
      <w:r>
        <w:rPr>
          <w:rFonts w:hint="eastAsia" w:cs="Times New Roman"/>
          <w:szCs w:val="32"/>
        </w:rPr>
        <w:t>流域</w:t>
      </w:r>
      <w:r>
        <w:rPr>
          <w:rFonts w:cs="Times New Roman"/>
          <w:szCs w:val="32"/>
        </w:rPr>
        <w:t>综合规划》、《黄河流域防洪规划》等规划的防洪工程空间，确保各类空间不冲突。</w:t>
      </w:r>
    </w:p>
    <w:p w14:paraId="15E8BDCF">
      <w:pPr>
        <w:spacing w:line="596" w:lineRule="exact"/>
        <w:ind w:firstLine="640"/>
        <w:rPr>
          <w:rFonts w:cs="Times New Roman"/>
          <w:szCs w:val="40"/>
        </w:rPr>
      </w:pPr>
      <w:r>
        <w:rPr>
          <w:rFonts w:cs="Times New Roman"/>
          <w:szCs w:val="40"/>
          <w:u w:val="none"/>
        </w:rPr>
        <w:t>至2035年，中心城区防洪标准达到100年一遇。</w:t>
      </w:r>
      <w:r>
        <w:rPr>
          <w:rFonts w:cs="Times New Roman"/>
          <w:szCs w:val="40"/>
        </w:rPr>
        <w:t>流经中心城区的兰阳河、清涧河、青阳河、浚仪河按二十年一遇的排涝标准进行治理，其它河沟按十年一遇的排涝标准进行治理；中心城区雨水管道按3-5年重现期设计。</w:t>
      </w:r>
    </w:p>
    <w:p w14:paraId="303C9B5E">
      <w:pPr>
        <w:spacing w:line="596" w:lineRule="exact"/>
        <w:ind w:firstLine="640"/>
        <w:rPr>
          <w:rFonts w:cs="Times New Roman"/>
          <w:szCs w:val="40"/>
        </w:rPr>
      </w:pPr>
      <w:r>
        <w:rPr>
          <w:rFonts w:cs="Times New Roman"/>
          <w:szCs w:val="40"/>
          <w:u w:val="none"/>
        </w:rPr>
        <w:t>其他乡镇的镇区、乡集镇区防洪标准达到20年一遇。</w:t>
      </w:r>
      <w:r>
        <w:rPr>
          <w:rFonts w:cs="Times New Roman"/>
          <w:szCs w:val="40"/>
        </w:rPr>
        <w:t>按照十年一遇的排涝标准进行黄蔡河、四明河、贺李河河道和干渠的疏浚，建设排水涵、排涝泵站。</w:t>
      </w:r>
    </w:p>
    <w:p w14:paraId="16790CB5">
      <w:pPr>
        <w:pStyle w:val="47"/>
        <w:spacing w:before="0" w:beforeLines="0" w:line="596" w:lineRule="exact"/>
        <w:ind w:firstLine="640"/>
        <w:rPr>
          <w:b w:val="0"/>
        </w:rPr>
      </w:pPr>
      <w:bookmarkStart w:id="272" w:name="_Toc11908"/>
      <w:bookmarkStart w:id="273" w:name="_Toc15735"/>
      <w:bookmarkStart w:id="274" w:name="_Toc32354"/>
      <w:r>
        <w:rPr>
          <w:b w:val="0"/>
        </w:rPr>
        <w:t>消防规划</w:t>
      </w:r>
      <w:bookmarkEnd w:id="272"/>
      <w:bookmarkEnd w:id="273"/>
      <w:bookmarkEnd w:id="274"/>
    </w:p>
    <w:p w14:paraId="636CB697">
      <w:pPr>
        <w:spacing w:line="596" w:lineRule="exact"/>
        <w:ind w:firstLine="640"/>
        <w:rPr>
          <w:rFonts w:cs="Times New Roman"/>
          <w:strike/>
          <w:szCs w:val="40"/>
        </w:rPr>
      </w:pPr>
      <w:r>
        <w:rPr>
          <w:rFonts w:cs="Times New Roman"/>
          <w:szCs w:val="40"/>
        </w:rPr>
        <w:t>至规划期末，</w:t>
      </w:r>
      <w:r>
        <w:rPr>
          <w:rFonts w:cs="Times New Roman"/>
          <w:szCs w:val="40"/>
          <w:u w:val="none"/>
        </w:rPr>
        <w:t>中心城区</w:t>
      </w:r>
      <w:r>
        <w:rPr>
          <w:rFonts w:hint="eastAsia"/>
          <w:u w:val="none"/>
        </w:rPr>
        <w:t>在保留现状3座消防站的基础上，规划新增5座一般消防站和1座特勤消防站，</w:t>
      </w:r>
      <w:r>
        <w:rPr>
          <w:rFonts w:cs="Times New Roman"/>
          <w:szCs w:val="40"/>
          <w:u w:val="none"/>
        </w:rPr>
        <w:t>消防站达到9座</w:t>
      </w:r>
      <w:r>
        <w:rPr>
          <w:rFonts w:hint="eastAsia" w:cs="Times New Roman"/>
          <w:szCs w:val="40"/>
          <w:u w:val="none"/>
        </w:rPr>
        <w:t>，</w:t>
      </w:r>
      <w:r>
        <w:rPr>
          <w:rFonts w:cs="Times New Roman"/>
          <w:szCs w:val="40"/>
        </w:rPr>
        <w:t>消防责任实现消防救援5分钟可达覆盖率达到90%。在镇区和乡政府所在的乡集镇区设立一级乡镇专职消防队。其他各个行政村依托村委会成立村民志愿消防组织，形成村民志愿消防队，最终形成以专职消防队为主，村民志愿消防队为辅的消防系统。</w:t>
      </w:r>
    </w:p>
    <w:p w14:paraId="47D64A7F">
      <w:pPr>
        <w:pStyle w:val="47"/>
        <w:spacing w:before="0" w:beforeLines="0" w:line="596" w:lineRule="exact"/>
        <w:ind w:firstLine="640"/>
        <w:rPr>
          <w:b w:val="0"/>
        </w:rPr>
      </w:pPr>
      <w:bookmarkStart w:id="275" w:name="_Toc12119"/>
      <w:bookmarkStart w:id="276" w:name="_Toc7882"/>
      <w:bookmarkStart w:id="277" w:name="_Toc15242"/>
      <w:r>
        <w:rPr>
          <w:b w:val="0"/>
        </w:rPr>
        <w:t>人防规划</w:t>
      </w:r>
      <w:bookmarkEnd w:id="275"/>
      <w:bookmarkEnd w:id="276"/>
      <w:bookmarkEnd w:id="277"/>
    </w:p>
    <w:p w14:paraId="732B8106">
      <w:pPr>
        <w:spacing w:line="596" w:lineRule="exact"/>
        <w:ind w:firstLine="640"/>
        <w:rPr>
          <w:rFonts w:cs="Times New Roman"/>
        </w:rPr>
      </w:pPr>
      <w:r>
        <w:rPr>
          <w:rFonts w:cs="Times New Roman"/>
        </w:rPr>
        <w:t>扎实推进人防设施建设，优化人防工程功能布局和比例结构，实行分类指导、重点建设，推动中心城区人均人员掩蔽工程面积与城市人口发展相协调，加快构建重点突出、布局合理、规模适度、可靠管用的新型城市防护格局。根据防空防灾需要，组织建设城市人口疏散设施，形成疏散地域、疏散基地及其他公共场所合理配置的人口疏散和应急避难工程与地下空间的互联互通，提升人防设施战备效益、社会效益、经济效益。基础设施建设应贯彻国防要求，合理布局通讯、电力、供水、排水、燃气、交通及道路桥梁等系统生命线工程。</w:t>
      </w:r>
    </w:p>
    <w:p w14:paraId="1A6D621E">
      <w:pPr>
        <w:spacing w:line="596" w:lineRule="exact"/>
        <w:ind w:firstLine="640"/>
        <w:rPr>
          <w:rFonts w:cs="Times New Roman"/>
        </w:rPr>
      </w:pPr>
      <w:r>
        <w:rPr>
          <w:rFonts w:cs="Times New Roman"/>
        </w:rPr>
        <w:t>中心城区人防工程按照40%留城人口，人均人防工程面积不低于1.5平方米进行建设。城区重点地区必须按照规划要求建设人防工程，在人流集散的车站、大型商场、影剧院、旅馆、医院、学校、政府机关等处修建一定规模的平战结合的掩蔽工事。</w:t>
      </w:r>
    </w:p>
    <w:p w14:paraId="46FA99EA">
      <w:pPr>
        <w:pStyle w:val="47"/>
        <w:spacing w:before="0" w:beforeLines="0" w:line="596" w:lineRule="exact"/>
        <w:ind w:firstLine="640"/>
        <w:rPr>
          <w:b w:val="0"/>
        </w:rPr>
      </w:pPr>
      <w:bookmarkStart w:id="278" w:name="_Toc5625"/>
      <w:bookmarkStart w:id="279" w:name="_Toc20153"/>
      <w:bookmarkStart w:id="280" w:name="_Toc9387"/>
      <w:r>
        <w:rPr>
          <w:b w:val="0"/>
        </w:rPr>
        <w:t>抗震规划</w:t>
      </w:r>
      <w:bookmarkEnd w:id="278"/>
      <w:bookmarkEnd w:id="279"/>
      <w:bookmarkEnd w:id="280"/>
    </w:p>
    <w:p w14:paraId="106030D1">
      <w:pPr>
        <w:spacing w:line="596" w:lineRule="exact"/>
        <w:ind w:firstLine="640"/>
        <w:rPr>
          <w:rFonts w:cs="Times New Roman"/>
          <w:szCs w:val="40"/>
        </w:rPr>
      </w:pPr>
      <w:r>
        <w:rPr>
          <w:rFonts w:cs="Times New Roman"/>
          <w:szCs w:val="40"/>
        </w:rPr>
        <w:t>根据《中国地震动参数区划图》（GB18306-2015），</w:t>
      </w:r>
      <w:r>
        <w:rPr>
          <w:rFonts w:cs="Times New Roman"/>
          <w:szCs w:val="30"/>
          <w:u w:val="none"/>
        </w:rPr>
        <w:t>兰考县南彰镇、小宋镇、孟寨乡抗震设防烈度为8度，其他地区抗震设防烈度为7度</w:t>
      </w:r>
      <w:r>
        <w:rPr>
          <w:rFonts w:cs="Times New Roman"/>
          <w:szCs w:val="30"/>
        </w:rPr>
        <w:t>。</w:t>
      </w:r>
      <w:r>
        <w:rPr>
          <w:rFonts w:cs="Times New Roman"/>
          <w:szCs w:val="40"/>
        </w:rPr>
        <w:t>新建建筑必须按《建筑抗震设计规范》（GB50011-2010）设防。对重大建设工程和可能发生严重次生灾害的建设工程，必须根据地震安全性评价，确定抗震设防要求。</w:t>
      </w:r>
    </w:p>
    <w:p w14:paraId="5D2CA32E">
      <w:pPr>
        <w:pStyle w:val="47"/>
        <w:spacing w:before="0" w:beforeLines="0" w:line="596" w:lineRule="exact"/>
        <w:ind w:firstLine="640"/>
        <w:rPr>
          <w:b w:val="0"/>
        </w:rPr>
      </w:pPr>
      <w:bookmarkStart w:id="281" w:name="_Toc31987"/>
      <w:bookmarkStart w:id="282" w:name="_Toc29360"/>
      <w:bookmarkStart w:id="283" w:name="_Toc14674"/>
      <w:r>
        <w:rPr>
          <w:rFonts w:hint="eastAsia"/>
          <w:b w:val="0"/>
        </w:rPr>
        <w:t>防灾指挥和</w:t>
      </w:r>
      <w:r>
        <w:rPr>
          <w:b w:val="0"/>
        </w:rPr>
        <w:t>避难</w:t>
      </w:r>
      <w:bookmarkEnd w:id="281"/>
      <w:bookmarkEnd w:id="282"/>
      <w:r>
        <w:rPr>
          <w:b w:val="0"/>
        </w:rPr>
        <w:t>疏散规划</w:t>
      </w:r>
      <w:bookmarkEnd w:id="283"/>
    </w:p>
    <w:p w14:paraId="2322F588">
      <w:pPr>
        <w:spacing w:line="596" w:lineRule="exact"/>
        <w:ind w:firstLine="640"/>
        <w:rPr>
          <w:rFonts w:cs="Times New Roman"/>
        </w:rPr>
      </w:pPr>
      <w:r>
        <w:rPr>
          <w:rFonts w:hint="eastAsia" w:cs="Times New Roman"/>
        </w:rPr>
        <w:t>依托兰考县人民政府，规划防灾应急指挥中心，建立集通信、指挥和调度于一体的城市</w:t>
      </w:r>
      <w:r>
        <w:fldChar w:fldCharType="begin"/>
      </w:r>
      <w:r>
        <w:instrText xml:space="preserve"> HYPERLINK "https://baike.baidu.com/item/%E5%BA%94%E6%80%A5%E7%B3%BB%E7%BB%9F/6333730?fromModule=lemma_inlink" \t "https://baike.baidu.com/item/%E5%BA%94%E6%80%A5%E6%8C%87%E6%8C%A5%E4%B8%AD%E5%BF%83/_blank" </w:instrText>
      </w:r>
      <w:r>
        <w:fldChar w:fldCharType="separate"/>
      </w:r>
      <w:r>
        <w:rPr>
          <w:rFonts w:hint="eastAsia" w:cs="Times New Roman"/>
        </w:rPr>
        <w:t>应急系统</w:t>
      </w:r>
      <w:r>
        <w:rPr>
          <w:rFonts w:hint="eastAsia" w:cs="Times New Roman"/>
        </w:rPr>
        <w:fldChar w:fldCharType="end"/>
      </w:r>
      <w:r>
        <w:rPr>
          <w:rFonts w:hint="eastAsia" w:cs="Times New Roman"/>
        </w:rPr>
        <w:t>。依托兰考县人民医院建设防灾急救中心，保障重大灾害中伤员的救治。依托兰考县疾病预防控制中心，建设卫生应急指挥中心，在发生</w:t>
      </w:r>
      <w:r>
        <w:fldChar w:fldCharType="begin"/>
      </w:r>
      <w:r>
        <w:instrText xml:space="preserve"> HYPERLINK "https://baike.baidu.com/item/%E7%AA%81%E5%8F%91%E5%85%AC%E5%85%B1%E5%8D%AB%E7%94%9F%E4%BA%8B%E4%BB%B6/9147955?fromModule=lemma_inlink" \t "https://baike.baidu.com/item/%E5%85%AC%E5%85%B1%E5%8D%AB%E7%94%9F%E5%BA%94%E6%80%A5%E6%8C%87%E6%8C%A5%E4%B8%AD%E5%BF%83/_blank" </w:instrText>
      </w:r>
      <w:r>
        <w:fldChar w:fldCharType="separate"/>
      </w:r>
      <w:r>
        <w:rPr>
          <w:rFonts w:hint="eastAsia" w:cs="Times New Roman"/>
        </w:rPr>
        <w:t>突发公共卫生事件</w:t>
      </w:r>
      <w:r>
        <w:rPr>
          <w:rFonts w:hint="eastAsia" w:cs="Times New Roman"/>
        </w:rPr>
        <w:fldChar w:fldCharType="end"/>
      </w:r>
      <w:r>
        <w:rPr>
          <w:rFonts w:hint="eastAsia" w:cs="Times New Roman"/>
        </w:rPr>
        <w:t>情况下监控动态变化，调度全县各种医疗卫生力量、救助力量，协调各种应急资源。</w:t>
      </w:r>
    </w:p>
    <w:p w14:paraId="57EA325E">
      <w:pPr>
        <w:spacing w:line="596" w:lineRule="exact"/>
        <w:ind w:firstLine="640"/>
        <w:rPr>
          <w:rFonts w:cs="Times New Roman"/>
        </w:rPr>
      </w:pPr>
      <w:r>
        <w:rPr>
          <w:rFonts w:hint="eastAsia" w:cs="Times New Roman"/>
        </w:rPr>
        <w:t>依托县域范围内的陇海铁路、高速公路、国道、省道和岳候线、孟马线两条县道建设防灾疏散干道，连通中心城区主要出入口，串联县域综合防灾减灾设施，在重大灾害事故情景下，保障大规模疏散救援行动安全通行。</w:t>
      </w:r>
    </w:p>
    <w:p w14:paraId="09515127">
      <w:pPr>
        <w:spacing w:line="596" w:lineRule="exact"/>
        <w:ind w:firstLine="640"/>
        <w:rPr>
          <w:rFonts w:cs="Times New Roman"/>
        </w:rPr>
      </w:pPr>
      <w:r>
        <w:rPr>
          <w:rFonts w:cs="Times New Roman"/>
        </w:rPr>
        <w:t>以开放式的干线公路网、城市干道网为主通道，构建多方向、多层级、多路径疏散系统，保障在极端灾害情况下城市内部主要方向上至少2条贯通道路，加强道路脆弱点（隧道、高架桥下、穿铁路道路等易积水节点）技术标准和应对处置机制研究。</w:t>
      </w:r>
      <w:r>
        <w:rPr>
          <w:rFonts w:hint="eastAsia" w:cs="Times New Roman"/>
        </w:rPr>
        <w:t>结合公园绿地、广场等开敞空间和体育场馆等公共设施，规划网格化、分布式的应急避难场所，</w:t>
      </w:r>
      <w:r>
        <w:rPr>
          <w:rFonts w:cs="Times New Roman"/>
        </w:rPr>
        <w:t>规划中心城区人均应急避难场所面积不低于2平方米。</w:t>
      </w:r>
    </w:p>
    <w:p w14:paraId="5F8266A0">
      <w:pPr>
        <w:pStyle w:val="47"/>
        <w:spacing w:before="0" w:beforeLines="0" w:line="596" w:lineRule="exact"/>
        <w:ind w:firstLine="640"/>
        <w:rPr>
          <w:b w:val="0"/>
        </w:rPr>
      </w:pPr>
      <w:bookmarkStart w:id="284" w:name="_Toc16490"/>
      <w:bookmarkStart w:id="285" w:name="_Toc26619"/>
      <w:bookmarkStart w:id="286" w:name="_Toc20936"/>
      <w:r>
        <w:rPr>
          <w:b w:val="0"/>
        </w:rPr>
        <w:t>危险品存储设施管控</w:t>
      </w:r>
      <w:bookmarkEnd w:id="284"/>
      <w:bookmarkEnd w:id="285"/>
      <w:bookmarkEnd w:id="286"/>
    </w:p>
    <w:p w14:paraId="78447BE5">
      <w:pPr>
        <w:spacing w:line="596" w:lineRule="exact"/>
        <w:ind w:firstLine="640"/>
        <w:rPr>
          <w:rFonts w:cs="Times New Roman"/>
        </w:rPr>
      </w:pPr>
      <w:r>
        <w:rPr>
          <w:rFonts w:cs="Times New Roman"/>
        </w:rPr>
        <w:t>中心城区范围内依据重大危险源定量风险评估结果，</w:t>
      </w:r>
      <w:r>
        <w:rPr>
          <w:rFonts w:hint="eastAsia" w:cs="Times New Roman"/>
        </w:rPr>
        <w:t>科学划定安全防护范围和缓冲空间，</w:t>
      </w:r>
      <w:r>
        <w:rPr>
          <w:rFonts w:cs="Times New Roman"/>
        </w:rPr>
        <w:t>合理规划周边建设用地，降低灾害影响。重大危险源管控范围内开展的建设活动应严格审批。在管控范围内不得规划建设应急避难场所，禁止新增公共管理与公共服务设施用地、商业服务业设施用地、居住用地、加油加气站用地及交通枢纽用地。</w:t>
      </w:r>
    </w:p>
    <w:p w14:paraId="36EFDD9B">
      <w:pPr>
        <w:spacing w:line="596" w:lineRule="exact"/>
        <w:ind w:firstLine="640"/>
        <w:rPr>
          <w:rFonts w:cs="Times New Roman"/>
          <w:szCs w:val="30"/>
          <w:u w:val="none"/>
        </w:rPr>
      </w:pPr>
      <w:r>
        <w:rPr>
          <w:rFonts w:cs="Times New Roman"/>
          <w:szCs w:val="30"/>
          <w:u w:val="none"/>
        </w:rPr>
        <w:t>新建、改建、扩建储存危险的建设项目，应当由安全生产监督管理部门进行安全条件审查。危险化学品储存数量构成重大危险源的危险化学品储存设施，安全防护距离内禁止建设劳动密集型、人员密集型的场所及设施。</w:t>
      </w:r>
    </w:p>
    <w:p w14:paraId="2FE0490C">
      <w:pPr>
        <w:pStyle w:val="47"/>
        <w:spacing w:before="0" w:beforeLines="0" w:line="596" w:lineRule="exact"/>
        <w:ind w:firstLine="640"/>
        <w:rPr>
          <w:b w:val="0"/>
        </w:rPr>
      </w:pPr>
      <w:bookmarkStart w:id="287" w:name="_Toc26968"/>
      <w:r>
        <w:rPr>
          <w:b w:val="0"/>
        </w:rPr>
        <w:t>公共卫生事件应急管理体系</w:t>
      </w:r>
      <w:bookmarkEnd w:id="287"/>
    </w:p>
    <w:p w14:paraId="58CEBFE4">
      <w:pPr>
        <w:spacing w:line="596" w:lineRule="exact"/>
        <w:ind w:firstLine="640"/>
        <w:rPr>
          <w:rFonts w:cs="Times New Roman"/>
          <w:szCs w:val="32"/>
        </w:rPr>
      </w:pPr>
      <w:r>
        <w:rPr>
          <w:rFonts w:cs="Times New Roman"/>
          <w:szCs w:val="32"/>
        </w:rPr>
        <w:t>构建突发公共卫生事件应急管理体系。贯彻执行《开封市突发公共卫生事件应急预案》，规范兰考突发公共卫生事件的应急准备与处置工作，加快“防、控、治”联动体系建设，最大程度保障公众生命安全和身体健康，维护正常的经济社会秩序。</w:t>
      </w:r>
      <w:r>
        <w:rPr>
          <w:rFonts w:hint="eastAsia" w:cs="Times New Roman"/>
        </w:rPr>
        <w:t>依托兰考县疾病预防控制中心，规划公共卫生应急指挥中心，</w:t>
      </w:r>
      <w:r>
        <w:rPr>
          <w:rFonts w:cs="Times New Roman"/>
          <w:szCs w:val="30"/>
          <w:u w:val="none"/>
        </w:rPr>
        <w:t>推进县级重大传染病防控救治基地、重大疫情救治基地、紧急医学救援基地建设</w:t>
      </w:r>
      <w:r>
        <w:rPr>
          <w:rFonts w:cs="Times New Roman"/>
          <w:szCs w:val="30"/>
        </w:rPr>
        <w:t>，</w:t>
      </w:r>
      <w:r>
        <w:rPr>
          <w:rFonts w:cs="Times New Roman"/>
          <w:szCs w:val="32"/>
        </w:rPr>
        <w:t>布局均衡合理的公共卫生应急物资生产、储备基地，构建多方参与的公共卫生应急物资储备体系。</w:t>
      </w:r>
    </w:p>
    <w:p w14:paraId="6B4A1D13">
      <w:pPr>
        <w:pStyle w:val="3"/>
        <w:numPr>
          <w:ilvl w:val="0"/>
          <w:numId w:val="9"/>
        </w:numPr>
      </w:pPr>
      <w:bookmarkStart w:id="288" w:name="_Toc26892"/>
      <w:bookmarkStart w:id="289" w:name="_Toc8358"/>
      <w:bookmarkStart w:id="290" w:name="_Toc1665"/>
      <w:r>
        <w:t>智慧低碳城市</w:t>
      </w:r>
      <w:bookmarkEnd w:id="288"/>
      <w:bookmarkEnd w:id="289"/>
      <w:bookmarkEnd w:id="290"/>
    </w:p>
    <w:p w14:paraId="2E23B1CB">
      <w:pPr>
        <w:pStyle w:val="47"/>
        <w:spacing w:before="0" w:beforeLines="0" w:line="596" w:lineRule="exact"/>
        <w:ind w:firstLine="640"/>
        <w:rPr>
          <w:b w:val="0"/>
        </w:rPr>
      </w:pPr>
      <w:bookmarkStart w:id="291" w:name="_Toc18696"/>
      <w:bookmarkStart w:id="292" w:name="_Toc20367"/>
      <w:bookmarkStart w:id="293" w:name="_Toc12135"/>
      <w:r>
        <w:rPr>
          <w:b w:val="0"/>
        </w:rPr>
        <w:t>节能减碳</w:t>
      </w:r>
      <w:bookmarkEnd w:id="291"/>
      <w:bookmarkEnd w:id="292"/>
      <w:bookmarkEnd w:id="293"/>
    </w:p>
    <w:p w14:paraId="3098C69C">
      <w:pPr>
        <w:spacing w:line="596" w:lineRule="exact"/>
        <w:ind w:firstLine="640"/>
        <w:rPr>
          <w:rFonts w:cs="Times New Roman"/>
        </w:rPr>
      </w:pPr>
      <w:r>
        <w:rPr>
          <w:rFonts w:cs="Times New Roman"/>
        </w:rPr>
        <w:t>积极实施“能源多元化战略”，全面推进能源革命试点县建设，强化碳排放</w:t>
      </w:r>
      <w:r>
        <w:rPr>
          <w:rFonts w:hint="eastAsia" w:cs="Times New Roman"/>
        </w:rPr>
        <w:t>总量和强度控制，逐步提高</w:t>
      </w:r>
      <w:r>
        <w:rPr>
          <w:rFonts w:cs="Times New Roman"/>
        </w:rPr>
        <w:t>再生能源在能源总消费中的比重。</w:t>
      </w:r>
    </w:p>
    <w:p w14:paraId="10EA3E9C">
      <w:pPr>
        <w:spacing w:line="596" w:lineRule="exact"/>
        <w:ind w:firstLine="640"/>
        <w:rPr>
          <w:rFonts w:cs="Times New Roman"/>
        </w:rPr>
      </w:pPr>
      <w:r>
        <w:rPr>
          <w:rFonts w:cs="Times New Roman"/>
        </w:rPr>
        <w:t>加快风能资源开发利用。统一编制县域风电开发方案，积极落实国家“千乡万村驭风计划”，根据实际消纳能力，结合河南省风能发展计划，科学制定分布式风电资源开发方案，合理建设风电机组。</w:t>
      </w:r>
    </w:p>
    <w:p w14:paraId="08C083F5">
      <w:pPr>
        <w:spacing w:line="596" w:lineRule="exact"/>
        <w:ind w:firstLine="640"/>
        <w:rPr>
          <w:rFonts w:cs="Times New Roman"/>
        </w:rPr>
      </w:pPr>
      <w:r>
        <w:rPr>
          <w:rFonts w:cs="Times New Roman"/>
        </w:rPr>
        <w:t>有序发展光伏发电。充分利用公共建筑和村民屋顶、农村闲置土地、院落空地建设光伏发电和太阳能供热项目，规划新增装机容量31.4万千瓦。</w:t>
      </w:r>
    </w:p>
    <w:p w14:paraId="69CDC270">
      <w:pPr>
        <w:spacing w:line="596" w:lineRule="exact"/>
        <w:ind w:firstLine="640"/>
        <w:rPr>
          <w:rFonts w:cs="Times New Roman"/>
        </w:rPr>
      </w:pPr>
      <w:r>
        <w:rPr>
          <w:rFonts w:cs="Times New Roman"/>
        </w:rPr>
        <w:t>积极推进生物质能梯级利用。发挥兰考县秸秆、畜禽粪污等农林牧废弃物富集的资源优势，规划在东坝头镇和南彰镇建设生物质制气厂各1座，提高生物质天然气比例。</w:t>
      </w:r>
    </w:p>
    <w:p w14:paraId="375C50DD">
      <w:pPr>
        <w:pStyle w:val="47"/>
        <w:spacing w:before="0" w:beforeLines="0" w:line="596" w:lineRule="exact"/>
        <w:ind w:firstLine="640"/>
        <w:rPr>
          <w:b w:val="0"/>
        </w:rPr>
      </w:pPr>
      <w:bookmarkStart w:id="294" w:name="_Toc10717"/>
      <w:bookmarkStart w:id="295" w:name="_Toc28605"/>
      <w:bookmarkStart w:id="296" w:name="_Toc28610"/>
      <w:r>
        <w:rPr>
          <w:b w:val="0"/>
        </w:rPr>
        <w:t>智慧城市</w:t>
      </w:r>
      <w:bookmarkEnd w:id="294"/>
      <w:bookmarkEnd w:id="295"/>
      <w:bookmarkEnd w:id="296"/>
    </w:p>
    <w:p w14:paraId="2DCEF4D2">
      <w:pPr>
        <w:spacing w:line="596" w:lineRule="exact"/>
        <w:ind w:firstLine="640"/>
        <w:rPr>
          <w:rFonts w:cs="Times New Roman"/>
        </w:rPr>
      </w:pPr>
      <w:bookmarkStart w:id="297" w:name="_Toc2301"/>
      <w:bookmarkStart w:id="298" w:name="_Toc8715"/>
      <w:bookmarkStart w:id="299" w:name="_Toc28982"/>
      <w:r>
        <w:rPr>
          <w:rFonts w:cs="Times New Roman"/>
        </w:rPr>
        <w:t>构建新型智慧服务体系。以“国土空间基础信息平台”为基础，推进城市智慧政务服务和数据共享平台建设，提高城市管理与服务水平；完善城市数字化管理平台和感知系统，打通社区末端、织密数据网格，促进居民生活智慧化；建设企业数字化管理大数据平台，推动现代信息技术与</w:t>
      </w:r>
      <w:r>
        <w:rPr>
          <w:rFonts w:hint="eastAsia" w:cs="Times New Roman"/>
        </w:rPr>
        <w:t>兰考县</w:t>
      </w:r>
      <w:r>
        <w:rPr>
          <w:rFonts w:cs="Times New Roman"/>
        </w:rPr>
        <w:t>产业发展深度融合。到2035年，基本形成以中心城区为核心、覆盖城乡的智慧服务体系。</w:t>
      </w:r>
    </w:p>
    <w:p w14:paraId="734B1D5B">
      <w:pPr>
        <w:spacing w:line="596" w:lineRule="exact"/>
        <w:ind w:firstLine="640"/>
        <w:rPr>
          <w:rFonts w:cs="Times New Roman"/>
        </w:rPr>
      </w:pPr>
      <w:r>
        <w:rPr>
          <w:rFonts w:cs="Times New Roman"/>
        </w:rPr>
        <w:t>加强现代通信基础设施建设。加强新一</w:t>
      </w:r>
      <w:r>
        <w:rPr>
          <w:rFonts w:hint="eastAsia" w:cs="Times New Roman"/>
        </w:rPr>
        <w:t>代</w:t>
      </w:r>
      <w:r>
        <w:rPr>
          <w:rFonts w:cs="Times New Roman"/>
        </w:rPr>
        <w:t>通信骨干网络构建，积极推进5G和超宽带等网络新技术开发应用，构建以多维数据库为基础的大数据中心和智慧城市中枢平台；统筹推进通信</w:t>
      </w:r>
      <w:r>
        <w:rPr>
          <w:rFonts w:hint="eastAsia" w:cs="Times New Roman"/>
        </w:rPr>
        <w:t>机</w:t>
      </w:r>
      <w:r>
        <w:rPr>
          <w:rFonts w:cs="Times New Roman"/>
        </w:rPr>
        <w:t>房、汇聚机房、数据机房、通信管道、基站、杆路、光交箱、铁塔等现代通信基础设施建设，保障通信基础设施用地需求。到2035年，建成集数字化交换网、高速传输网、宽带接入网、无线数据网、多媒体数据网为一体的现代化的通信网络。</w:t>
      </w:r>
    </w:p>
    <w:p w14:paraId="50A33F20">
      <w:pPr>
        <w:spacing w:line="596" w:lineRule="exact"/>
        <w:ind w:firstLine="640"/>
        <w:rPr>
          <w:rFonts w:cs="Times New Roman"/>
        </w:rPr>
        <w:sectPr>
          <w:pgSz w:w="11906" w:h="16838"/>
          <w:pgMar w:top="1440" w:right="1797" w:bottom="1440" w:left="1797" w:header="851" w:footer="992" w:gutter="0"/>
          <w:cols w:space="425" w:num="1"/>
          <w:docGrid w:type="linesAndChars" w:linePitch="312" w:charSpace="0"/>
        </w:sectPr>
      </w:pPr>
      <w:r>
        <w:rPr>
          <w:rFonts w:cs="Times New Roman"/>
        </w:rPr>
        <w:t>提升邮政基础设施建设。依托综合交通优势，推动区域性农产品冷链物流中心、汽车交易中心、国际陆港、现代家具展示交易中心等区域性大型邮政物流中心建设，打造区域性邮政快递枢纽中心。规划中心城区保留并扩建现有邮政中心局及3个支局，新建1个邮政支局；规划保留各乡镇现状邮政支局，优化提升现代化服务能力。规划城镇地区按5-10分钟生活圈配套设置邮政服务中心；支持乡村地区按乡村基础生活圈配套邮政物流服务网点。</w:t>
      </w:r>
    </w:p>
    <w:p w14:paraId="7AAA3741">
      <w:pPr>
        <w:pStyle w:val="7"/>
        <w:ind w:firstLine="0" w:firstLineChars="0"/>
        <w:rPr>
          <w:rFonts w:cs="Times New Roman" w:eastAsiaTheme="majorEastAsia"/>
          <w:sz w:val="32"/>
        </w:rPr>
      </w:pPr>
    </w:p>
    <w:p w14:paraId="27DB8E40">
      <w:pPr>
        <w:pStyle w:val="2"/>
        <w:spacing w:before="200" w:beforeLines="0" w:after="400" w:afterLines="0" w:line="596" w:lineRule="exact"/>
        <w:ind w:left="0"/>
        <w:rPr>
          <w:color w:val="auto"/>
        </w:rPr>
      </w:pPr>
      <w:bookmarkStart w:id="300" w:name="_Toc32011"/>
      <w:r>
        <w:rPr>
          <w:color w:val="auto"/>
        </w:rPr>
        <w:t>全面推进国土综合整治与修复</w:t>
      </w:r>
      <w:bookmarkEnd w:id="297"/>
      <w:bookmarkEnd w:id="298"/>
      <w:bookmarkEnd w:id="300"/>
    </w:p>
    <w:p w14:paraId="3B7B05E1">
      <w:pPr>
        <w:pStyle w:val="3"/>
        <w:numPr>
          <w:ilvl w:val="0"/>
          <w:numId w:val="10"/>
        </w:numPr>
      </w:pPr>
      <w:bookmarkStart w:id="301" w:name="_Toc8200"/>
      <w:bookmarkStart w:id="302" w:name="_Toc22718"/>
      <w:bookmarkStart w:id="303" w:name="_Toc16790"/>
      <w:bookmarkStart w:id="304" w:name="_Toc19481"/>
      <w:bookmarkStart w:id="305" w:name="_Toc7143"/>
      <w:r>
        <w:t>生态空间整治与修复</w:t>
      </w:r>
      <w:bookmarkEnd w:id="301"/>
      <w:bookmarkEnd w:id="302"/>
      <w:bookmarkEnd w:id="303"/>
      <w:bookmarkEnd w:id="304"/>
    </w:p>
    <w:p w14:paraId="0DA816B8">
      <w:pPr>
        <w:pStyle w:val="47"/>
        <w:spacing w:before="0" w:beforeLines="0" w:line="596" w:lineRule="exact"/>
        <w:ind w:firstLine="640"/>
        <w:rPr>
          <w:b w:val="0"/>
        </w:rPr>
      </w:pPr>
      <w:bookmarkStart w:id="306" w:name="_Toc17732"/>
      <w:r>
        <w:rPr>
          <w:b w:val="0"/>
        </w:rPr>
        <w:t>湿地生态修复</w:t>
      </w:r>
      <w:bookmarkEnd w:id="306"/>
    </w:p>
    <w:p w14:paraId="0E733E1F">
      <w:pPr>
        <w:spacing w:line="596" w:lineRule="exact"/>
        <w:ind w:firstLine="640"/>
        <w:rPr>
          <w:rFonts w:cs="Times New Roman"/>
        </w:rPr>
      </w:pPr>
      <w:r>
        <w:rPr>
          <w:rFonts w:cs="Times New Roman"/>
        </w:rPr>
        <w:t>重点推进以河南开封柳园口省级湿地自然保护区为主体的湿地生态修复。加大对湿地的保护管理，建立湿地资源信息库，完善湿地资源监测系统，推进小微湿地建设，提升服务价值，坚持自然恢复为主、人工修复为辅的方式，逐步恢复湿地生态功能，保护湿地、水域生态系统和鸟类栖息地、迁徙通道。规划期内湿地保护率不降低。</w:t>
      </w:r>
    </w:p>
    <w:p w14:paraId="00ED929D">
      <w:pPr>
        <w:pStyle w:val="47"/>
        <w:spacing w:before="0" w:beforeLines="0" w:line="596" w:lineRule="exact"/>
        <w:ind w:firstLine="640"/>
        <w:rPr>
          <w:b w:val="0"/>
        </w:rPr>
      </w:pPr>
      <w:bookmarkStart w:id="307" w:name="_Toc14610"/>
      <w:r>
        <w:rPr>
          <w:b w:val="0"/>
        </w:rPr>
        <w:t>黄河滩区综合治理</w:t>
      </w:r>
      <w:bookmarkEnd w:id="307"/>
    </w:p>
    <w:p w14:paraId="5DBB7922">
      <w:pPr>
        <w:spacing w:line="596" w:lineRule="exact"/>
        <w:ind w:firstLine="640"/>
        <w:rPr>
          <w:rFonts w:cs="Times New Roman"/>
        </w:rPr>
      </w:pPr>
      <w:r>
        <w:rPr>
          <w:rFonts w:cs="Times New Roman"/>
        </w:rPr>
        <w:t>重点推进以东坝头</w:t>
      </w:r>
      <w:r>
        <w:t>镇</w:t>
      </w:r>
      <w:r>
        <w:rPr>
          <w:rFonts w:cs="Times New Roman"/>
        </w:rPr>
        <w:t>、谷营</w:t>
      </w:r>
      <w:r>
        <w:t>镇</w:t>
      </w:r>
      <w:r>
        <w:rPr>
          <w:rFonts w:cs="Times New Roman"/>
        </w:rPr>
        <w:t>、三义寨</w:t>
      </w:r>
      <w:r>
        <w:rPr>
          <w:rFonts w:hint="eastAsia" w:cs="Times New Roman"/>
        </w:rPr>
        <w:t>乡</w:t>
      </w:r>
      <w:r>
        <w:rPr>
          <w:rFonts w:cs="Times New Roman"/>
        </w:rPr>
        <w:t>滩区土地为依托的黄河滩区综合治理，建设优质牧草基地，</w:t>
      </w:r>
      <w:r>
        <w:rPr>
          <w:rFonts w:hint="eastAsia" w:cs="Times New Roman"/>
        </w:rPr>
        <w:t>实施</w:t>
      </w:r>
      <w:r>
        <w:rPr>
          <w:rFonts w:cs="Times New Roman"/>
        </w:rPr>
        <w:t>沿黄水土保持林带建设、养殖场拆迁、养殖鱼塘退养等措施，推进黄河滩区生态综合治理，实现黄河流域生态保护和高质量发展。通过工程性措施对夹河滩护滩工程、东坝头控导工程、蔡集控导工程和四明堂险工坝垛进行加固堤防、疏浚河道，不断提升防大汛、抗大灾能力，保障黄河安澜。</w:t>
      </w:r>
    </w:p>
    <w:p w14:paraId="48B7C146">
      <w:pPr>
        <w:pStyle w:val="47"/>
        <w:spacing w:before="0" w:beforeLines="0" w:line="596" w:lineRule="exact"/>
        <w:ind w:firstLine="640"/>
        <w:rPr>
          <w:b w:val="0"/>
        </w:rPr>
      </w:pPr>
      <w:bookmarkStart w:id="308" w:name="_Toc8004"/>
      <w:r>
        <w:rPr>
          <w:b w:val="0"/>
        </w:rPr>
        <w:t>生态网络连通建设</w:t>
      </w:r>
      <w:bookmarkEnd w:id="308"/>
    </w:p>
    <w:p w14:paraId="0F4D53D6">
      <w:pPr>
        <w:spacing w:line="596" w:lineRule="exact"/>
        <w:ind w:firstLine="640"/>
        <w:rPr>
          <w:rFonts w:cs="Times New Roman"/>
        </w:rPr>
      </w:pPr>
      <w:r>
        <w:rPr>
          <w:rFonts w:cs="Times New Roman"/>
        </w:rPr>
        <w:t>以四明河、黄蔡河、贺李河等全域骨干河道、黄河大堤等重要节点周边林地为重点实施生态网络连通建设。加强金花湖、金牛湖、国有林场等现有林地的保护，修复重要节点周边林带断点，加强低质低效林的提质改造，提升森林质量。围绕乡镇村道路、河道及其支流加强水土保持综合治理，完善多功能、多层次的农田防护林体系，提高防风固沙能力。规划以防风固沙、农田防护以及保护土地生产力和粮食生产安全，促进水土资源合理利用和改善农业生产基础条件为主要目标，实现水土资源的可持续利用和生态环境的可持续维护，促进经济社会的可持续发展。规划至2025年水土保持率为88.43%，规划至2035年水土保持率为88.59%。</w:t>
      </w:r>
    </w:p>
    <w:p w14:paraId="5103C6F8">
      <w:pPr>
        <w:spacing w:line="596" w:lineRule="exact"/>
        <w:ind w:firstLine="640"/>
        <w:rPr>
          <w:rFonts w:cs="Times New Roman"/>
        </w:rPr>
      </w:pPr>
      <w:r>
        <w:rPr>
          <w:rFonts w:cs="Times New Roman"/>
        </w:rPr>
        <w:t>通过加固堤防、疏浚河道等措施，提升四明河、黄蔡河等主要河道排洪除涝能力，推进河道清障、清淤疏浚、水源涵养与水土保持、河湖管护及人文景观工程等，提高水体自净能力和生物多样性，构建自然、稳定、健康的水系连通生态体系。</w:t>
      </w:r>
    </w:p>
    <w:p w14:paraId="7B164F00">
      <w:pPr>
        <w:pStyle w:val="47"/>
        <w:spacing w:before="0" w:beforeLines="0" w:line="596" w:lineRule="exact"/>
        <w:ind w:firstLine="640"/>
        <w:rPr>
          <w:b w:val="0"/>
        </w:rPr>
      </w:pPr>
      <w:bookmarkStart w:id="309" w:name="_Toc3345"/>
      <w:r>
        <w:rPr>
          <w:b w:val="0"/>
        </w:rPr>
        <w:t>生态空间整治与修复重点</w:t>
      </w:r>
      <w:bookmarkEnd w:id="309"/>
      <w:r>
        <w:rPr>
          <w:rFonts w:hint="eastAsia"/>
          <w:b w:val="0"/>
        </w:rPr>
        <w:t>项目</w:t>
      </w:r>
    </w:p>
    <w:p w14:paraId="61FA844A">
      <w:pPr>
        <w:spacing w:line="596" w:lineRule="exact"/>
        <w:ind w:firstLine="640"/>
        <w:rPr>
          <w:rFonts w:hint="eastAsia" w:cs="Times New Roman"/>
          <w:szCs w:val="40"/>
        </w:rPr>
      </w:pPr>
      <w:r>
        <w:rPr>
          <w:rFonts w:hint="eastAsia"/>
        </w:rPr>
        <w:t>规划期内谋划8</w:t>
      </w:r>
      <w:r>
        <w:t>类重点项目，</w:t>
      </w:r>
      <w:r>
        <w:rPr>
          <w:rFonts w:hint="eastAsia"/>
        </w:rPr>
        <w:t>包括自然保护地核心保护区植被恢复项目</w:t>
      </w:r>
      <w:r>
        <w:t>、</w:t>
      </w:r>
      <w:r>
        <w:rPr>
          <w:rFonts w:hint="eastAsia" w:cs="Times New Roman"/>
          <w:szCs w:val="40"/>
        </w:rPr>
        <w:t>水系连通建设项目</w:t>
      </w:r>
      <w:r>
        <w:t>、</w:t>
      </w:r>
      <w:r>
        <w:rPr>
          <w:rFonts w:hint="eastAsia" w:cs="Times New Roman"/>
          <w:szCs w:val="40"/>
        </w:rPr>
        <w:t>引黄调蓄项目</w:t>
      </w:r>
      <w:r>
        <w:t>、</w:t>
      </w:r>
      <w:r>
        <w:rPr>
          <w:rFonts w:hint="eastAsia" w:cs="Times New Roman"/>
          <w:szCs w:val="40"/>
        </w:rPr>
        <w:t>生态廊道建设项目</w:t>
      </w:r>
      <w:r>
        <w:rPr>
          <w:rFonts w:hint="eastAsia"/>
        </w:rPr>
        <w:t>、</w:t>
      </w:r>
      <w:r>
        <w:rPr>
          <w:rFonts w:hint="eastAsia" w:ascii="仿宋_GB2312" w:hAnsi="宋体" w:cs="仿宋_GB2312"/>
          <w:kern w:val="0"/>
          <w:sz w:val="31"/>
          <w:szCs w:val="31"/>
          <w:lang w:bidi="ar"/>
        </w:rPr>
        <w:t>地下水超采区</w:t>
      </w:r>
      <w:r>
        <w:rPr>
          <w:rFonts w:hint="eastAsia" w:cs="Times New Roman"/>
          <w:szCs w:val="40"/>
        </w:rPr>
        <w:t>综合治理项目、水土保持治理项目、黄河滩区综合治理项目和洪涝灾害防治项目。</w:t>
      </w:r>
    </w:p>
    <w:p w14:paraId="72A4D193">
      <w:pPr>
        <w:spacing w:line="596" w:lineRule="exact"/>
        <w:ind w:firstLine="640"/>
        <w:rPr>
          <w:rFonts w:hint="eastAsia" w:cs="Times New Roman"/>
          <w:szCs w:val="40"/>
        </w:rPr>
      </w:pPr>
    </w:p>
    <w:p w14:paraId="66CE1932">
      <w:pPr>
        <w:spacing w:line="596" w:lineRule="exact"/>
        <w:ind w:firstLine="640"/>
        <w:rPr>
          <w:rFonts w:hint="eastAsia" w:cs="Times New Roman"/>
          <w:szCs w:val="40"/>
        </w:rPr>
      </w:pPr>
    </w:p>
    <w:p w14:paraId="39438C84">
      <w:pPr>
        <w:pStyle w:val="3"/>
        <w:numPr>
          <w:ilvl w:val="0"/>
          <w:numId w:val="10"/>
        </w:numPr>
      </w:pPr>
      <w:bookmarkStart w:id="310" w:name="_Toc19488"/>
      <w:bookmarkStart w:id="311" w:name="_Toc32495"/>
      <w:bookmarkStart w:id="312" w:name="_Toc21393"/>
      <w:bookmarkStart w:id="313" w:name="_Toc8883"/>
      <w:r>
        <w:t>农业农村空间整治与修复</w:t>
      </w:r>
      <w:bookmarkEnd w:id="310"/>
      <w:bookmarkEnd w:id="311"/>
      <w:bookmarkEnd w:id="312"/>
      <w:bookmarkEnd w:id="313"/>
    </w:p>
    <w:p w14:paraId="3252FA91">
      <w:pPr>
        <w:pStyle w:val="47"/>
        <w:spacing w:before="0" w:beforeLines="0" w:line="596" w:lineRule="exact"/>
        <w:ind w:firstLine="640"/>
        <w:rPr>
          <w:b w:val="0"/>
        </w:rPr>
      </w:pPr>
      <w:r>
        <w:rPr>
          <w:b w:val="0"/>
        </w:rPr>
        <w:t>整治与修复目标</w:t>
      </w:r>
    </w:p>
    <w:p w14:paraId="100257C5">
      <w:pPr>
        <w:spacing w:line="596" w:lineRule="exact"/>
        <w:ind w:firstLine="640"/>
        <w:rPr>
          <w:rFonts w:cs="Times New Roman"/>
        </w:rPr>
      </w:pPr>
      <w:r>
        <w:rPr>
          <w:rFonts w:cs="Times New Roman"/>
        </w:rPr>
        <w:t>优化乡村生产、生活、生态空间布局，有序推进农用地整治、高标准农田建设、农村建设用地综合整治、耕地后备资源开发等，解决空间布局无序、资源利用低效、农业生态质量退化、农村居民点建设散乱、耕地碎片化等问题，</w:t>
      </w:r>
      <w:r>
        <w:rPr>
          <w:rFonts w:hint="eastAsia" w:cs="Times New Roman"/>
        </w:rPr>
        <w:t>提升粮食产能，</w:t>
      </w:r>
      <w:r>
        <w:rPr>
          <w:rFonts w:cs="Times New Roman"/>
        </w:rPr>
        <w:t>促进空间高效集约和耕地保护，改善农村人居环境，助推乡村振兴。规划期内农业面源污染得到有效治理，乡村人居环境得到改善提升。到2025年，新建高标准农田12万亩，提质改造高标准农田示范区60万亩，打造智慧农业示范区，加快农业现代化，到2035年，将永久基本农田全部建成高标准农田。</w:t>
      </w:r>
    </w:p>
    <w:p w14:paraId="6EE22DB5">
      <w:pPr>
        <w:pStyle w:val="47"/>
        <w:spacing w:before="0" w:beforeLines="0" w:line="596" w:lineRule="exact"/>
        <w:ind w:firstLine="640"/>
        <w:rPr>
          <w:b w:val="0"/>
        </w:rPr>
      </w:pPr>
      <w:r>
        <w:rPr>
          <w:b w:val="0"/>
        </w:rPr>
        <w:t>整治与修复重点区域</w:t>
      </w:r>
    </w:p>
    <w:p w14:paraId="74664B3D">
      <w:pPr>
        <w:spacing w:line="596" w:lineRule="exact"/>
        <w:ind w:firstLine="640"/>
        <w:rPr>
          <w:rFonts w:cs="Times New Roman"/>
        </w:rPr>
      </w:pPr>
      <w:bookmarkStart w:id="314" w:name="_Toc15700"/>
      <w:r>
        <w:rPr>
          <w:rFonts w:cs="Times New Roman"/>
        </w:rPr>
        <w:t>根据兰考县资源禀赋、土地整治基础条件和土地利用方向等，将兰考县划分为农用地整治重点区、耕地后备资源开发重点区</w:t>
      </w:r>
      <w:r>
        <w:rPr>
          <w:rFonts w:hint="eastAsia" w:cs="Times New Roman"/>
        </w:rPr>
        <w:t>和</w:t>
      </w:r>
      <w:r>
        <w:rPr>
          <w:rFonts w:cs="Times New Roman"/>
        </w:rPr>
        <w:t>农村建设用地整治重点区。</w:t>
      </w:r>
    </w:p>
    <w:p w14:paraId="74F68D8D">
      <w:pPr>
        <w:widowControl/>
        <w:ind w:firstLine="640"/>
        <w:jc w:val="left"/>
        <w:rPr>
          <w:rFonts w:cs="Times New Roman"/>
        </w:rPr>
      </w:pPr>
      <w:r>
        <w:rPr>
          <w:rFonts w:cs="Times New Roman"/>
        </w:rPr>
        <w:t>农用地整治重点区主要分布于考城</w:t>
      </w:r>
      <w:r>
        <w:rPr>
          <w:rFonts w:hint="eastAsia" w:ascii="仿宋" w:hAnsi="仿宋" w:eastAsia="仿宋" w:cs="仿宋"/>
        </w:rPr>
        <w:t>镇</w:t>
      </w:r>
      <w:r>
        <w:rPr>
          <w:rFonts w:cs="Times New Roman"/>
        </w:rPr>
        <w:t>、</w:t>
      </w:r>
      <w:r>
        <w:rPr>
          <w:rFonts w:hint="eastAsia" w:ascii="宋体" w:hAnsi="宋体" w:eastAsia="宋体" w:cs="仿宋"/>
        </w:rPr>
        <w:t>堌</w:t>
      </w:r>
      <w:r>
        <w:rPr>
          <w:rFonts w:cs="Times New Roman"/>
        </w:rPr>
        <w:t>阳</w:t>
      </w:r>
      <w:r>
        <w:rPr>
          <w:rFonts w:hint="eastAsia" w:ascii="仿宋" w:hAnsi="仿宋" w:eastAsia="仿宋" w:cs="仿宋"/>
        </w:rPr>
        <w:t>镇</w:t>
      </w:r>
      <w:r>
        <w:rPr>
          <w:rFonts w:cs="Times New Roman"/>
        </w:rPr>
        <w:t>、谷营</w:t>
      </w:r>
      <w:r>
        <w:rPr>
          <w:rFonts w:hint="eastAsia" w:ascii="仿宋" w:hAnsi="仿宋" w:eastAsia="仿宋" w:cs="仿宋"/>
        </w:rPr>
        <w:t>镇</w:t>
      </w:r>
      <w:r>
        <w:rPr>
          <w:rFonts w:cs="Times New Roman"/>
        </w:rPr>
        <w:t>、仪封</w:t>
      </w:r>
      <w:r>
        <w:rPr>
          <w:rFonts w:hint="eastAsia" w:ascii="仿宋" w:hAnsi="仿宋" w:eastAsia="仿宋" w:cs="仿宋"/>
        </w:rPr>
        <w:t>镇</w:t>
      </w:r>
      <w:r>
        <w:rPr>
          <w:rFonts w:cs="Times New Roman"/>
        </w:rPr>
        <w:t>、小宋</w:t>
      </w:r>
      <w:r>
        <w:rPr>
          <w:rFonts w:hint="eastAsia" w:ascii="仿宋" w:hAnsi="仿宋" w:eastAsia="仿宋" w:cs="仿宋"/>
        </w:rPr>
        <w:t>镇</w:t>
      </w:r>
      <w:r>
        <w:rPr>
          <w:rFonts w:cs="Times New Roman"/>
        </w:rPr>
        <w:t>、葡萄架</w:t>
      </w:r>
      <w:r>
        <w:rPr>
          <w:rFonts w:hint="eastAsia" w:cs="Times New Roman"/>
        </w:rPr>
        <w:t>乡</w:t>
      </w:r>
      <w:r>
        <w:rPr>
          <w:rFonts w:cs="Times New Roman"/>
        </w:rPr>
        <w:t>、许河</w:t>
      </w:r>
      <w:r>
        <w:rPr>
          <w:rFonts w:hint="eastAsia" w:cs="Times New Roman"/>
        </w:rPr>
        <w:t>乡</w:t>
      </w:r>
      <w:r>
        <w:rPr>
          <w:rFonts w:cs="Times New Roman"/>
        </w:rPr>
        <w:t>、东坝头</w:t>
      </w:r>
      <w:r>
        <w:rPr>
          <w:rFonts w:hint="eastAsia" w:ascii="仿宋" w:hAnsi="仿宋" w:eastAsia="仿宋" w:cs="仿宋"/>
        </w:rPr>
        <w:t>镇</w:t>
      </w:r>
      <w:r>
        <w:rPr>
          <w:rFonts w:cs="Times New Roman"/>
        </w:rPr>
        <w:t>、红庙</w:t>
      </w:r>
      <w:r>
        <w:rPr>
          <w:rFonts w:hint="eastAsia" w:ascii="仿宋" w:hAnsi="仿宋" w:eastAsia="仿宋" w:cs="仿宋"/>
        </w:rPr>
        <w:t>镇</w:t>
      </w:r>
      <w:r>
        <w:rPr>
          <w:rFonts w:cs="Times New Roman"/>
        </w:rPr>
        <w:t>、闫楼</w:t>
      </w:r>
      <w:r>
        <w:rPr>
          <w:rFonts w:hint="eastAsia" w:ascii="仿宋" w:hAnsi="仿宋" w:eastAsia="仿宋" w:cs="仿宋"/>
        </w:rPr>
        <w:t>乡</w:t>
      </w:r>
      <w:r>
        <w:rPr>
          <w:rFonts w:hint="eastAsia" w:eastAsia="仿宋" w:cs="Times New Roman"/>
        </w:rPr>
        <w:t>和</w:t>
      </w:r>
      <w:r>
        <w:rPr>
          <w:rFonts w:cs="Times New Roman"/>
        </w:rPr>
        <w:t>南彰</w:t>
      </w:r>
      <w:r>
        <w:rPr>
          <w:rFonts w:hint="eastAsia" w:ascii="仿宋" w:hAnsi="仿宋" w:eastAsia="仿宋" w:cs="仿宋"/>
        </w:rPr>
        <w:t>镇</w:t>
      </w:r>
      <w:r>
        <w:rPr>
          <w:rFonts w:cs="Times New Roman"/>
        </w:rPr>
        <w:t>等乡镇</w:t>
      </w:r>
      <w:r>
        <w:rPr>
          <w:rFonts w:hint="eastAsia" w:cs="Times New Roman"/>
        </w:rPr>
        <w:t>。</w:t>
      </w:r>
      <w:r>
        <w:rPr>
          <w:rFonts w:ascii="仿宋_GB2312" w:hAnsi="宋体" w:cs="仿宋_GB2312"/>
          <w:kern w:val="0"/>
          <w:sz w:val="31"/>
          <w:szCs w:val="31"/>
          <w:lang w:bidi="ar"/>
        </w:rPr>
        <w:t>该区域</w:t>
      </w:r>
      <w:r>
        <w:rPr>
          <w:rFonts w:cs="Times New Roman"/>
        </w:rPr>
        <w:t>开展高标准农田建设、农用地整治</w:t>
      </w:r>
      <w:r>
        <w:rPr>
          <w:rFonts w:hint="eastAsia" w:cs="Times New Roman"/>
        </w:rPr>
        <w:t>和农业面源污染治理等项目</w:t>
      </w:r>
      <w:r>
        <w:rPr>
          <w:rFonts w:cs="Times New Roman"/>
        </w:rPr>
        <w:t>，</w:t>
      </w:r>
      <w:r>
        <w:rPr>
          <w:rFonts w:hint="eastAsia" w:cs="Times New Roman"/>
        </w:rPr>
        <w:t>完善农田基础设施，增加有效耕地面积，提高耕地质量和连片度，改善农业生产条件，夯实农业现代化发展基础</w:t>
      </w:r>
      <w:r>
        <w:rPr>
          <w:rFonts w:cs="Times New Roman"/>
        </w:rPr>
        <w:t>。</w:t>
      </w:r>
    </w:p>
    <w:p w14:paraId="4A4BD15C">
      <w:pPr>
        <w:spacing w:line="596" w:lineRule="exact"/>
        <w:ind w:firstLine="640"/>
        <w:rPr>
          <w:rFonts w:cs="Times New Roman"/>
        </w:rPr>
      </w:pPr>
      <w:r>
        <w:rPr>
          <w:rFonts w:cs="Times New Roman"/>
        </w:rPr>
        <w:t>耕地后备资源开发重点区主要分布于仪封</w:t>
      </w:r>
      <w:r>
        <w:t>镇</w:t>
      </w:r>
      <w:r>
        <w:rPr>
          <w:rFonts w:cs="Times New Roman"/>
        </w:rPr>
        <w:t>、三义寨</w:t>
      </w:r>
      <w:r>
        <w:rPr>
          <w:rFonts w:hint="eastAsia" w:cs="Times New Roman"/>
        </w:rPr>
        <w:t>乡</w:t>
      </w:r>
      <w:r>
        <w:rPr>
          <w:rFonts w:cs="Times New Roman"/>
        </w:rPr>
        <w:t>和谷营</w:t>
      </w:r>
      <w:r>
        <w:t>镇</w:t>
      </w:r>
      <w:r>
        <w:rPr>
          <w:rFonts w:cs="Times New Roman"/>
        </w:rPr>
        <w:t>等乡镇</w:t>
      </w:r>
      <w:r>
        <w:rPr>
          <w:rFonts w:hint="eastAsia" w:cs="Times New Roman"/>
        </w:rPr>
        <w:t>。</w:t>
      </w:r>
      <w:r>
        <w:rPr>
          <w:rFonts w:ascii="仿宋_GB2312" w:hAnsi="宋体" w:cs="仿宋_GB2312"/>
          <w:kern w:val="0"/>
          <w:sz w:val="31"/>
          <w:szCs w:val="31"/>
          <w:lang w:bidi="ar"/>
        </w:rPr>
        <w:t>该区域</w:t>
      </w:r>
      <w:r>
        <w:rPr>
          <w:rFonts w:cs="Times New Roman"/>
        </w:rPr>
        <w:t>实施耕地后备资源开发</w:t>
      </w:r>
      <w:r>
        <w:rPr>
          <w:rFonts w:hint="eastAsia" w:cs="Times New Roman"/>
        </w:rPr>
        <w:t>项目</w:t>
      </w:r>
      <w:r>
        <w:rPr>
          <w:rFonts w:cs="Times New Roman"/>
        </w:rPr>
        <w:t>，优先将与现状耕地集中连片的后备资源开发为耕地，优化耕地空间布局，促进耕地集中连片。</w:t>
      </w:r>
    </w:p>
    <w:p w14:paraId="6D8E9983">
      <w:pPr>
        <w:spacing w:line="596" w:lineRule="exact"/>
        <w:ind w:firstLine="640"/>
        <w:rPr>
          <w:rFonts w:cs="Times New Roman"/>
        </w:rPr>
      </w:pPr>
      <w:r>
        <w:rPr>
          <w:rFonts w:cs="Times New Roman"/>
        </w:rPr>
        <w:t>农村建设用地整治重点区主要为三义寨</w:t>
      </w:r>
      <w:r>
        <w:rPr>
          <w:rFonts w:hint="eastAsia" w:cs="Times New Roman"/>
        </w:rPr>
        <w:t>乡</w:t>
      </w:r>
      <w:r>
        <w:rPr>
          <w:rFonts w:cs="Times New Roman"/>
        </w:rPr>
        <w:t>、东坝头</w:t>
      </w:r>
      <w:r>
        <w:t>镇</w:t>
      </w:r>
      <w:r>
        <w:rPr>
          <w:rFonts w:cs="Times New Roman"/>
        </w:rPr>
        <w:t>和谷营</w:t>
      </w:r>
      <w:r>
        <w:rPr>
          <w:rFonts w:hint="eastAsia" w:cs="Times New Roman"/>
        </w:rPr>
        <w:t>镇</w:t>
      </w:r>
      <w:r>
        <w:rPr>
          <w:rFonts w:cs="Times New Roman"/>
        </w:rPr>
        <w:t>黄河大堤内的搬迁撤并类村庄以及考城</w:t>
      </w:r>
      <w:r>
        <w:rPr>
          <w:rFonts w:hint="eastAsia" w:cs="Times New Roman"/>
        </w:rPr>
        <w:t>镇</w:t>
      </w:r>
      <w:r>
        <w:rPr>
          <w:rFonts w:cs="Times New Roman"/>
        </w:rPr>
        <w:t>、仪封</w:t>
      </w:r>
      <w:r>
        <w:rPr>
          <w:rFonts w:hint="eastAsia" w:cs="Times New Roman"/>
        </w:rPr>
        <w:t>镇</w:t>
      </w:r>
      <w:r>
        <w:rPr>
          <w:rFonts w:cs="Times New Roman"/>
        </w:rPr>
        <w:t>、小宋</w:t>
      </w:r>
      <w:r>
        <w:rPr>
          <w:rFonts w:hint="eastAsia" w:cs="Times New Roman"/>
        </w:rPr>
        <w:t>镇</w:t>
      </w:r>
      <w:r>
        <w:rPr>
          <w:rFonts w:cs="Times New Roman"/>
        </w:rPr>
        <w:t>、三义寨</w:t>
      </w:r>
      <w:r>
        <w:rPr>
          <w:rFonts w:hint="eastAsia" w:cs="Times New Roman"/>
        </w:rPr>
        <w:t>乡</w:t>
      </w:r>
      <w:r>
        <w:rPr>
          <w:rFonts w:cs="Times New Roman"/>
        </w:rPr>
        <w:t>、南彰</w:t>
      </w:r>
      <w:r>
        <w:rPr>
          <w:rFonts w:hint="eastAsia" w:cs="Times New Roman"/>
        </w:rPr>
        <w:t>镇</w:t>
      </w:r>
      <w:r>
        <w:rPr>
          <w:rFonts w:cs="Times New Roman"/>
        </w:rPr>
        <w:t>和红庙</w:t>
      </w:r>
      <w:r>
        <w:rPr>
          <w:rFonts w:hint="eastAsia" w:cs="Times New Roman"/>
        </w:rPr>
        <w:t>镇</w:t>
      </w:r>
      <w:r>
        <w:rPr>
          <w:rFonts w:cs="Times New Roman"/>
        </w:rPr>
        <w:t>等乡镇的整治改善类村庄</w:t>
      </w:r>
      <w:r>
        <w:rPr>
          <w:rFonts w:hint="eastAsia" w:cs="Times New Roman"/>
        </w:rPr>
        <w:t>。以</w:t>
      </w:r>
      <w:r>
        <w:rPr>
          <w:rFonts w:cs="Times New Roman"/>
        </w:rPr>
        <w:t>滩区</w:t>
      </w:r>
      <w:r>
        <w:rPr>
          <w:rFonts w:hint="eastAsia" w:cs="Times New Roman"/>
        </w:rPr>
        <w:t>村庄</w:t>
      </w:r>
      <w:r>
        <w:rPr>
          <w:rFonts w:cs="Times New Roman"/>
        </w:rPr>
        <w:t>迁建</w:t>
      </w:r>
      <w:r>
        <w:rPr>
          <w:rFonts w:hint="eastAsia" w:cs="Times New Roman"/>
        </w:rPr>
        <w:t>、闲置农村宅基地、其他低效闲置建设用地整治以及人居环境整治为重点，有序开展存量盘活，完善农村基础设施配套建设</w:t>
      </w:r>
      <w:r>
        <w:rPr>
          <w:rFonts w:cs="Times New Roman"/>
        </w:rPr>
        <w:t>和保障乡村振兴产业用地</w:t>
      </w:r>
      <w:r>
        <w:rPr>
          <w:rFonts w:hint="eastAsia" w:cs="Times New Roman"/>
        </w:rPr>
        <w:t>，加强环境综合治理，提高农村建设用地节约集约利用水平</w:t>
      </w:r>
      <w:r>
        <w:rPr>
          <w:rFonts w:cs="Times New Roman"/>
        </w:rPr>
        <w:t>。</w:t>
      </w:r>
    </w:p>
    <w:p w14:paraId="20340689">
      <w:pPr>
        <w:pStyle w:val="47"/>
        <w:spacing w:before="0" w:beforeLines="0" w:line="596" w:lineRule="exact"/>
        <w:ind w:firstLine="640"/>
        <w:rPr>
          <w:b w:val="0"/>
        </w:rPr>
      </w:pPr>
      <w:r>
        <w:rPr>
          <w:b w:val="0"/>
        </w:rPr>
        <w:t>整治与修复重点</w:t>
      </w:r>
      <w:bookmarkEnd w:id="314"/>
      <w:r>
        <w:rPr>
          <w:rFonts w:hint="eastAsia"/>
          <w:b w:val="0"/>
        </w:rPr>
        <w:t>项目</w:t>
      </w:r>
    </w:p>
    <w:bookmarkEnd w:id="305"/>
    <w:p w14:paraId="0621C005">
      <w:pPr>
        <w:spacing w:line="596" w:lineRule="exact"/>
        <w:ind w:firstLine="640"/>
        <w:rPr>
          <w:rFonts w:cs="Times New Roman"/>
        </w:rPr>
      </w:pPr>
      <w:bookmarkStart w:id="315" w:name="_Toc24523"/>
      <w:bookmarkStart w:id="316" w:name="_Toc31918"/>
      <w:r>
        <w:rPr>
          <w:rFonts w:hint="eastAsia"/>
        </w:rPr>
        <w:t>规划期内谋划</w:t>
      </w:r>
      <w:r>
        <w:t>7类重点项目，</w:t>
      </w:r>
      <w:r>
        <w:rPr>
          <w:rFonts w:hint="eastAsia"/>
        </w:rPr>
        <w:t>包括</w:t>
      </w:r>
      <w:r>
        <w:rPr>
          <w:rFonts w:cs="Times New Roman"/>
          <w:szCs w:val="40"/>
        </w:rPr>
        <w:t>高标准农田建设项目</w:t>
      </w:r>
      <w:r>
        <w:t>、</w:t>
      </w:r>
      <w:r>
        <w:rPr>
          <w:rFonts w:cs="Times New Roman"/>
          <w:szCs w:val="40"/>
        </w:rPr>
        <w:t>农用地整治项目</w:t>
      </w:r>
      <w:r>
        <w:t>、</w:t>
      </w:r>
      <w:r>
        <w:rPr>
          <w:rFonts w:hint="eastAsia" w:cs="Times New Roman"/>
          <w:szCs w:val="40"/>
        </w:rPr>
        <w:t>农业面源污染治理项目</w:t>
      </w:r>
      <w:r>
        <w:t>、</w:t>
      </w:r>
      <w:r>
        <w:rPr>
          <w:rFonts w:hint="eastAsia" w:cs="Times New Roman"/>
          <w:szCs w:val="40"/>
        </w:rPr>
        <w:t>耕地后备资源开发项目</w:t>
      </w:r>
      <w:r>
        <w:rPr>
          <w:rFonts w:hint="eastAsia"/>
        </w:rPr>
        <w:t>、</w:t>
      </w:r>
      <w:r>
        <w:rPr>
          <w:rFonts w:ascii="仿宋_GB2312" w:hAnsi="宋体" w:cs="仿宋_GB2312"/>
          <w:kern w:val="0"/>
          <w:sz w:val="31"/>
          <w:szCs w:val="31"/>
          <w:lang w:bidi="ar"/>
        </w:rPr>
        <w:t>全域土地综合整治项目</w:t>
      </w:r>
      <w:r>
        <w:rPr>
          <w:rFonts w:hint="eastAsia"/>
        </w:rPr>
        <w:t>、</w:t>
      </w:r>
      <w:r>
        <w:rPr>
          <w:rFonts w:hint="eastAsia" w:cs="Times New Roman"/>
          <w:szCs w:val="40"/>
        </w:rPr>
        <w:t>农村建设用地整治项目</w:t>
      </w:r>
      <w:r>
        <w:rPr>
          <w:rFonts w:hint="eastAsia"/>
        </w:rPr>
        <w:t>和</w:t>
      </w:r>
      <w:r>
        <w:rPr>
          <w:rFonts w:hint="eastAsia" w:cs="Times New Roman"/>
          <w:szCs w:val="40"/>
        </w:rPr>
        <w:t>乡村人居环境提升项目</w:t>
      </w:r>
      <w:r>
        <w:rPr>
          <w:rFonts w:hint="eastAsia"/>
        </w:rPr>
        <w:t>。</w:t>
      </w:r>
      <w:r>
        <w:rPr>
          <w:rFonts w:cs="Times New Roman"/>
        </w:rPr>
        <w:t>详见附表16。</w:t>
      </w:r>
    </w:p>
    <w:p w14:paraId="02C73D5C">
      <w:pPr>
        <w:pStyle w:val="3"/>
      </w:pPr>
      <w:bookmarkStart w:id="317" w:name="_Toc6971"/>
      <w:r>
        <w:t>城镇空间整治与修复</w:t>
      </w:r>
      <w:bookmarkEnd w:id="315"/>
      <w:bookmarkEnd w:id="316"/>
      <w:bookmarkEnd w:id="317"/>
    </w:p>
    <w:p w14:paraId="5725878C">
      <w:pPr>
        <w:pStyle w:val="47"/>
        <w:spacing w:before="0" w:beforeLines="0" w:line="596" w:lineRule="exact"/>
        <w:ind w:firstLine="640"/>
        <w:rPr>
          <w:b w:val="0"/>
        </w:rPr>
      </w:pPr>
      <w:bookmarkStart w:id="318" w:name="_Toc25854"/>
      <w:r>
        <w:rPr>
          <w:b w:val="0"/>
        </w:rPr>
        <w:t>盘活批而未用土地</w:t>
      </w:r>
      <w:bookmarkEnd w:id="318"/>
    </w:p>
    <w:p w14:paraId="7721C8BE">
      <w:pPr>
        <w:spacing w:line="596" w:lineRule="exact"/>
        <w:ind w:firstLine="640"/>
        <w:rPr>
          <w:rFonts w:cs="Times New Roman"/>
        </w:rPr>
      </w:pPr>
      <w:r>
        <w:rPr>
          <w:rFonts w:cs="Times New Roman"/>
        </w:rPr>
        <w:t>加强对中心城区、谷营镇和东坝头镇等区域内批而未用地块的管理，提高土地利用效率，促进节约集约发展。按照“重点优先、以点带面、分期实施</w:t>
      </w:r>
      <w:r>
        <w:rPr>
          <w:rFonts w:hint="eastAsia" w:cs="Times New Roman"/>
        </w:rPr>
        <w:t>、</w:t>
      </w:r>
      <w:r>
        <w:rPr>
          <w:rFonts w:cs="Times New Roman"/>
        </w:rPr>
        <w:t>滚动发展”思路，合理安排近、中、远期改造规模与结构，综合确定存量建设用地再利用建设的时序计划。</w:t>
      </w:r>
    </w:p>
    <w:p w14:paraId="091CED8C">
      <w:pPr>
        <w:pStyle w:val="47"/>
        <w:spacing w:before="0" w:beforeLines="0" w:line="596" w:lineRule="exact"/>
        <w:ind w:firstLine="640"/>
        <w:rPr>
          <w:b w:val="0"/>
        </w:rPr>
      </w:pPr>
      <w:bookmarkStart w:id="319" w:name="_Toc1807"/>
      <w:r>
        <w:rPr>
          <w:b w:val="0"/>
        </w:rPr>
        <w:t>盘活闲置低效用地</w:t>
      </w:r>
      <w:bookmarkEnd w:id="319"/>
    </w:p>
    <w:p w14:paraId="1DD64035">
      <w:pPr>
        <w:spacing w:line="596" w:lineRule="exact"/>
        <w:ind w:firstLine="640"/>
        <w:rPr>
          <w:rFonts w:cs="Times New Roman"/>
        </w:rPr>
      </w:pPr>
      <w:r>
        <w:rPr>
          <w:rFonts w:cs="Times New Roman"/>
        </w:rPr>
        <w:t>通过收储、置换、功能转型提升等方式，分类施策，有序推进闲置低效用地盘活。</w:t>
      </w:r>
      <w:r>
        <w:rPr>
          <w:rFonts w:hint="eastAsia" w:cs="Times New Roman"/>
        </w:rPr>
        <w:t>闲置低效用地主要分布在</w:t>
      </w:r>
      <w:r>
        <w:rPr>
          <w:rFonts w:cs="Times New Roman"/>
        </w:rPr>
        <w:t>经济技术开发区和油田片区内。经济技术开发区内闲置低效用地重点推进产业“退二优二”及产业转型升级，油田片区内闲置低效用地采取全面改造、综合整治、功能改善等方式更新，为产业发展、公共服务建设等提供空间。</w:t>
      </w:r>
    </w:p>
    <w:p w14:paraId="537318ED">
      <w:pPr>
        <w:pStyle w:val="47"/>
        <w:spacing w:before="0" w:beforeLines="0" w:line="596" w:lineRule="exact"/>
        <w:ind w:firstLine="640"/>
        <w:rPr>
          <w:b w:val="0"/>
        </w:rPr>
      </w:pPr>
      <w:bookmarkStart w:id="320" w:name="_Toc25996"/>
      <w:r>
        <w:rPr>
          <w:b w:val="0"/>
        </w:rPr>
        <w:t>城镇水环境综合治理</w:t>
      </w:r>
      <w:bookmarkEnd w:id="320"/>
    </w:p>
    <w:p w14:paraId="13F29145">
      <w:pPr>
        <w:spacing w:line="596" w:lineRule="exact"/>
        <w:ind w:firstLine="640"/>
        <w:rPr>
          <w:rFonts w:cs="Times New Roman"/>
        </w:rPr>
      </w:pPr>
      <w:r>
        <w:rPr>
          <w:rFonts w:cs="Times New Roman"/>
        </w:rPr>
        <w:t>完成对城区、镇区排水管网和入河雨水管网提升，统筹实施河道和道路管网截污排污工程，因地制宜</w:t>
      </w:r>
      <w:r>
        <w:rPr>
          <w:rFonts w:hint="eastAsia" w:cs="Times New Roman"/>
        </w:rPr>
        <w:t>采取</w:t>
      </w:r>
      <w:r>
        <w:rPr>
          <w:rFonts w:cs="Times New Roman"/>
        </w:rPr>
        <w:t>工程措施提升城区、镇区河道连通循环能力，提升河道防洪除涝功能。</w:t>
      </w:r>
    </w:p>
    <w:p w14:paraId="52FC986B">
      <w:pPr>
        <w:spacing w:line="596" w:lineRule="exact"/>
        <w:ind w:firstLine="640"/>
        <w:rPr>
          <w:rFonts w:cs="Times New Roman"/>
        </w:rPr>
      </w:pPr>
      <w:r>
        <w:rPr>
          <w:rFonts w:cs="Times New Roman"/>
        </w:rPr>
        <w:t>大力推进黑臭水体及内河水系治理，对城区内浚仪河、青阳河、兰阳河等分区实施清淤、截污，实施生态修复、河道整治、生态补水、景观绿化等工程措施，提升城区水生态服务功能，形成以清涧河、兰阳河、浚仪河、青阳河为主的水生态廊道。</w:t>
      </w:r>
    </w:p>
    <w:p w14:paraId="3BC499AC">
      <w:pPr>
        <w:spacing w:line="596" w:lineRule="exact"/>
        <w:ind w:firstLine="640"/>
        <w:rPr>
          <w:rFonts w:cs="Times New Roman"/>
        </w:rPr>
        <w:sectPr>
          <w:headerReference r:id="rId10" w:type="default"/>
          <w:footerReference r:id="rId11" w:type="default"/>
          <w:pgSz w:w="11906" w:h="16838"/>
          <w:pgMar w:top="1440" w:right="1797" w:bottom="1440" w:left="1797" w:header="851" w:footer="992" w:gutter="0"/>
          <w:cols w:space="425" w:num="1"/>
          <w:docGrid w:type="linesAndChars" w:linePitch="312" w:charSpace="0"/>
        </w:sectPr>
      </w:pPr>
    </w:p>
    <w:bookmarkEnd w:id="299"/>
    <w:p w14:paraId="53438D49">
      <w:pPr>
        <w:ind w:firstLine="0" w:firstLineChars="0"/>
        <w:rPr>
          <w:rFonts w:cs="Times New Roman"/>
        </w:rPr>
      </w:pPr>
      <w:bookmarkStart w:id="321" w:name="_Toc19272"/>
      <w:bookmarkStart w:id="322" w:name="_Toc1259"/>
    </w:p>
    <w:p w14:paraId="1B693FCF">
      <w:pPr>
        <w:pStyle w:val="2"/>
        <w:spacing w:before="200" w:beforeLines="0" w:after="400" w:afterLines="0" w:line="596" w:lineRule="exact"/>
        <w:ind w:left="0"/>
        <w:rPr>
          <w:color w:val="auto"/>
        </w:rPr>
      </w:pPr>
      <w:bookmarkStart w:id="323" w:name="_Toc13852"/>
      <w:r>
        <w:rPr>
          <w:color w:val="auto"/>
        </w:rPr>
        <w:t>实施保障</w:t>
      </w:r>
      <w:bookmarkEnd w:id="321"/>
      <w:bookmarkEnd w:id="322"/>
      <w:bookmarkEnd w:id="323"/>
    </w:p>
    <w:p w14:paraId="3E312B86">
      <w:pPr>
        <w:pStyle w:val="3"/>
        <w:numPr>
          <w:ilvl w:val="0"/>
          <w:numId w:val="11"/>
        </w:numPr>
      </w:pPr>
      <w:bookmarkStart w:id="324" w:name="_Toc4043"/>
      <w:bookmarkStart w:id="325" w:name="_Toc12407"/>
      <w:bookmarkStart w:id="326" w:name="_Toc22289"/>
      <w:r>
        <w:t>加强党的领导</w:t>
      </w:r>
      <w:bookmarkEnd w:id="324"/>
      <w:bookmarkEnd w:id="325"/>
      <w:bookmarkEnd w:id="326"/>
    </w:p>
    <w:p w14:paraId="509E1CE0">
      <w:pPr>
        <w:pStyle w:val="47"/>
        <w:spacing w:before="0" w:beforeLines="0" w:line="596" w:lineRule="exact"/>
        <w:ind w:firstLine="640"/>
        <w:rPr>
          <w:b w:val="0"/>
        </w:rPr>
      </w:pPr>
      <w:bookmarkStart w:id="327" w:name="_Toc29221"/>
      <w:bookmarkStart w:id="328" w:name="_Toc31974"/>
      <w:bookmarkStart w:id="329" w:name="_Toc14356"/>
      <w:r>
        <w:rPr>
          <w:b w:val="0"/>
        </w:rPr>
        <w:t>党委和政府主体责任</w:t>
      </w:r>
      <w:bookmarkEnd w:id="327"/>
      <w:bookmarkEnd w:id="328"/>
      <w:bookmarkEnd w:id="329"/>
    </w:p>
    <w:p w14:paraId="3C600F80">
      <w:pPr>
        <w:spacing w:line="596" w:lineRule="exact"/>
        <w:ind w:firstLine="640"/>
        <w:rPr>
          <w:rFonts w:cs="Times New Roman"/>
        </w:rPr>
      </w:pPr>
      <w:r>
        <w:rPr>
          <w:rFonts w:cs="Times New Roman"/>
        </w:rPr>
        <w:t>深入学习习近平新时代中国特色社会主义思想，全面贯彻落实党的二十大会议精神，深刻领会“两个确立”的决定性意义，增强“四个意识”、坚定“四个自信”、做到“两个维护”，不断提高政治判断力、政治领悟力、政治执行力，充分发挥党总揽全局、协调各方的领导核心作用，坚决把党的领导贯彻到规划编制实施全过程各领域各环节，坚决把河南省的重大战略和重要要求落实到兰考县国土空间规划体系中。</w:t>
      </w:r>
    </w:p>
    <w:p w14:paraId="417D66BC">
      <w:pPr>
        <w:spacing w:line="596" w:lineRule="exact"/>
        <w:ind w:firstLine="640"/>
        <w:rPr>
          <w:rFonts w:cs="Times New Roman"/>
        </w:rPr>
      </w:pPr>
      <w:r>
        <w:rPr>
          <w:rFonts w:cs="Times New Roman"/>
        </w:rPr>
        <w:t>建立</w:t>
      </w:r>
      <w:r>
        <w:rPr>
          <w:rFonts w:hint="eastAsia" w:cs="Times New Roman"/>
        </w:rPr>
        <w:t>“</w:t>
      </w:r>
      <w:r>
        <w:rPr>
          <w:rFonts w:cs="Times New Roman"/>
        </w:rPr>
        <w:t>多规合一</w:t>
      </w:r>
      <w:r>
        <w:rPr>
          <w:rFonts w:hint="eastAsia" w:cs="Times New Roman"/>
        </w:rPr>
        <w:t>”</w:t>
      </w:r>
      <w:r>
        <w:rPr>
          <w:rFonts w:cs="Times New Roman"/>
        </w:rPr>
        <w:t>的国土空间规划体系和监督实施机制，强化规划严肃性。规划一经批准，任何部门和个人不得随意修改、违规变更。国土空间规划执行情况纳入领导干部自然资源资产离任审计，建立规划约束性指标考核评估监督机制。加强对国土空间规划实施情况的督察。各乡镇政府及县直有关部门应当依据本规划，制定本地区、本部门的国土空间规划和国土空间相关专项规划。</w:t>
      </w:r>
    </w:p>
    <w:p w14:paraId="4044FE44">
      <w:pPr>
        <w:pStyle w:val="47"/>
        <w:spacing w:before="0" w:beforeLines="0" w:line="596" w:lineRule="exact"/>
        <w:ind w:firstLine="640"/>
        <w:rPr>
          <w:b w:val="0"/>
        </w:rPr>
      </w:pPr>
      <w:bookmarkStart w:id="330" w:name="_Toc23876"/>
      <w:bookmarkStart w:id="331" w:name="_Toc909"/>
      <w:bookmarkStart w:id="332" w:name="_Toc3765"/>
      <w:r>
        <w:rPr>
          <w:b w:val="0"/>
        </w:rPr>
        <w:t>国土空间规划委员会制度</w:t>
      </w:r>
      <w:bookmarkEnd w:id="330"/>
      <w:bookmarkEnd w:id="331"/>
      <w:bookmarkEnd w:id="332"/>
    </w:p>
    <w:p w14:paraId="3CFD153D">
      <w:pPr>
        <w:spacing w:line="596" w:lineRule="exact"/>
        <w:ind w:firstLine="640"/>
        <w:rPr>
          <w:rFonts w:cs="Times New Roman"/>
        </w:rPr>
      </w:pPr>
      <w:r>
        <w:rPr>
          <w:rFonts w:cs="Times New Roman"/>
        </w:rPr>
        <w:t>建立健全国土空间规划委员会制度，加强部门间协同，进一步完善国土空间规划编制实施管理的配套政策对国土空间编制实施管理重大问题进行统筹协调和决策，确保规划各项目标任务落地实施。建立规划实施的部门沟通协商机制，协调解决国土保护、开发利用和修复中的相关问题，确保国家、省级、市级重大决策部署落实到位。</w:t>
      </w:r>
    </w:p>
    <w:p w14:paraId="33AC6688">
      <w:pPr>
        <w:pStyle w:val="3"/>
        <w:numPr>
          <w:ilvl w:val="0"/>
          <w:numId w:val="11"/>
        </w:numPr>
      </w:pPr>
      <w:bookmarkStart w:id="333" w:name="_Toc17398"/>
      <w:bookmarkStart w:id="334" w:name="_Toc18176"/>
      <w:bookmarkStart w:id="335" w:name="_Toc3481"/>
      <w:r>
        <w:t>传导与管控体系</w:t>
      </w:r>
      <w:bookmarkEnd w:id="333"/>
      <w:bookmarkEnd w:id="334"/>
      <w:bookmarkEnd w:id="335"/>
    </w:p>
    <w:p w14:paraId="4EB6389C">
      <w:pPr>
        <w:pStyle w:val="47"/>
        <w:spacing w:before="0" w:beforeLines="0" w:line="596" w:lineRule="exact"/>
        <w:ind w:firstLine="640"/>
        <w:rPr>
          <w:b w:val="0"/>
        </w:rPr>
      </w:pPr>
      <w:bookmarkStart w:id="336" w:name="_Toc522"/>
      <w:bookmarkStart w:id="337" w:name="_Toc16919"/>
      <w:bookmarkStart w:id="338" w:name="_Toc31553"/>
      <w:r>
        <w:rPr>
          <w:b w:val="0"/>
        </w:rPr>
        <w:t>乡镇国土空间规划编制指引</w:t>
      </w:r>
      <w:bookmarkEnd w:id="336"/>
      <w:bookmarkEnd w:id="337"/>
      <w:bookmarkEnd w:id="338"/>
    </w:p>
    <w:p w14:paraId="3B22EB10">
      <w:pPr>
        <w:spacing w:line="596" w:lineRule="exact"/>
        <w:ind w:firstLine="640"/>
        <w:rPr>
          <w:rFonts w:cs="Times New Roman"/>
          <w:strike/>
        </w:rPr>
      </w:pPr>
      <w:r>
        <w:rPr>
          <w:rFonts w:cs="Times New Roman"/>
        </w:rPr>
        <w:t>强化县级、乡镇级国土空间规划传导机制，加强对战略空间保障和重大基础设施的结构引导；乡镇规划在不突破约束性指标及管控要求的前提下，可对规划进行深化与细化。详见附表17。</w:t>
      </w:r>
    </w:p>
    <w:p w14:paraId="31068D0E">
      <w:pPr>
        <w:pStyle w:val="47"/>
        <w:spacing w:before="0" w:beforeLines="0" w:line="596" w:lineRule="exact"/>
        <w:ind w:firstLine="640"/>
        <w:rPr>
          <w:b w:val="0"/>
        </w:rPr>
      </w:pPr>
      <w:bookmarkStart w:id="339" w:name="_Toc17511"/>
      <w:bookmarkStart w:id="340" w:name="_Toc16646"/>
      <w:bookmarkStart w:id="341" w:name="_Toc16319"/>
      <w:r>
        <w:rPr>
          <w:b w:val="0"/>
        </w:rPr>
        <w:t>专项规划编制指引</w:t>
      </w:r>
      <w:bookmarkEnd w:id="339"/>
      <w:bookmarkEnd w:id="340"/>
      <w:bookmarkEnd w:id="341"/>
    </w:p>
    <w:p w14:paraId="5AE4C1D9">
      <w:pPr>
        <w:spacing w:line="596" w:lineRule="exact"/>
        <w:ind w:firstLine="640"/>
        <w:rPr>
          <w:rFonts w:hint="eastAsia" w:eastAsia="仿宋_GB2312" w:cs="Times New Roman"/>
          <w:szCs w:val="32"/>
          <w:lang w:eastAsia="zh-CN"/>
        </w:rPr>
      </w:pPr>
      <w:bookmarkStart w:id="342" w:name="_Toc25446"/>
      <w:bookmarkStart w:id="343" w:name="_Toc10847"/>
      <w:r>
        <w:rPr>
          <w:rFonts w:cs="Times New Roman"/>
          <w:szCs w:val="32"/>
        </w:rPr>
        <w:t>相关专项规划要在国土空间总体规划的指导和约束下进行编制，落实相关约束性指标和底线管控要求，不得违背国土空间总体规划的强制性内容</w:t>
      </w:r>
      <w:r>
        <w:rPr>
          <w:rFonts w:hint="eastAsia" w:cs="Times New Roman"/>
          <w:szCs w:val="32"/>
          <w:lang w:eastAsia="zh-CN"/>
        </w:rPr>
        <w:t>。</w:t>
      </w:r>
    </w:p>
    <w:p w14:paraId="630D9DD1">
      <w:pPr>
        <w:pStyle w:val="47"/>
        <w:spacing w:before="0" w:beforeLines="0" w:line="596" w:lineRule="exact"/>
        <w:ind w:firstLine="640"/>
        <w:rPr>
          <w:b w:val="0"/>
        </w:rPr>
      </w:pPr>
      <w:bookmarkStart w:id="344" w:name="_Toc22284"/>
      <w:r>
        <w:rPr>
          <w:b w:val="0"/>
        </w:rPr>
        <w:t>详细规划编制指引</w:t>
      </w:r>
      <w:bookmarkEnd w:id="342"/>
      <w:bookmarkEnd w:id="343"/>
      <w:bookmarkEnd w:id="344"/>
    </w:p>
    <w:p w14:paraId="1FCE01D0">
      <w:pPr>
        <w:spacing w:line="596" w:lineRule="exact"/>
        <w:ind w:firstLine="640"/>
        <w:rPr>
          <w:rFonts w:cs="Times New Roman"/>
        </w:rPr>
      </w:pPr>
      <w:r>
        <w:rPr>
          <w:rFonts w:cs="Times New Roman"/>
        </w:rPr>
        <w:t>完善总体规划</w:t>
      </w:r>
      <w:r>
        <w:rPr>
          <w:rFonts w:hint="eastAsia" w:cs="Times New Roman"/>
        </w:rPr>
        <w:t>-</w:t>
      </w:r>
      <w:r>
        <w:rPr>
          <w:rFonts w:cs="Times New Roman"/>
        </w:rPr>
        <w:t>详细规划的管控体系，在城镇开发边界内，以详细规划单元为基本单位落实总体规划传导；在城镇开发边界外，以乡村基本功能单元为基础，编制村庄规划作为详细规划。</w:t>
      </w:r>
    </w:p>
    <w:p w14:paraId="308A4EF8">
      <w:pPr>
        <w:spacing w:line="596" w:lineRule="exact"/>
        <w:ind w:firstLine="640"/>
        <w:rPr>
          <w:rFonts w:cs="Times New Roman"/>
        </w:rPr>
      </w:pPr>
      <w:r>
        <w:rPr>
          <w:rFonts w:cs="Times New Roman"/>
        </w:rPr>
        <w:t>加强</w:t>
      </w:r>
      <w:r>
        <w:rPr>
          <w:rFonts w:hint="eastAsia" w:cs="Times New Roman"/>
        </w:rPr>
        <w:t>城镇</w:t>
      </w:r>
      <w:r>
        <w:rPr>
          <w:rFonts w:cs="Times New Roman"/>
        </w:rPr>
        <w:t>详细规划单元开发强度</w:t>
      </w:r>
      <w:r>
        <w:rPr>
          <w:rFonts w:hint="eastAsia" w:cs="Times New Roman"/>
        </w:rPr>
        <w:t>监测</w:t>
      </w:r>
      <w:r>
        <w:rPr>
          <w:rFonts w:cs="Times New Roman"/>
        </w:rPr>
        <w:t>、</w:t>
      </w:r>
      <w:r>
        <w:rPr>
          <w:rFonts w:hint="eastAsia" w:cs="Times New Roman"/>
        </w:rPr>
        <w:t>细化</w:t>
      </w:r>
      <w:r>
        <w:rPr>
          <w:rFonts w:cs="Times New Roman"/>
        </w:rPr>
        <w:t>总体城市设计，从“指标、界线、重点、用地、要求、目标”6个方面</w:t>
      </w:r>
      <w:r>
        <w:rPr>
          <w:rFonts w:hint="eastAsia" w:cs="Times New Roman"/>
        </w:rPr>
        <w:t>强化对</w:t>
      </w:r>
      <w:r>
        <w:rPr>
          <w:rFonts w:cs="Times New Roman"/>
        </w:rPr>
        <w:t>详细规划单元</w:t>
      </w:r>
      <w:r>
        <w:rPr>
          <w:rFonts w:hint="eastAsia" w:cs="Times New Roman"/>
        </w:rPr>
        <w:t>的</w:t>
      </w:r>
      <w:r>
        <w:rPr>
          <w:rFonts w:cs="Times New Roman"/>
        </w:rPr>
        <w:t>管控，明确</w:t>
      </w:r>
      <w:r>
        <w:rPr>
          <w:rFonts w:hint="eastAsia" w:cs="Times New Roman"/>
        </w:rPr>
        <w:t>各单元</w:t>
      </w:r>
      <w:r>
        <w:rPr>
          <w:rFonts w:cs="Times New Roman"/>
        </w:rPr>
        <w:t>在重要控制指标、功能布局、要素配置、空间形态等方面的指导和约束要求，实现国土空间总体规划的传导和对城市建设的控制指引。</w:t>
      </w:r>
    </w:p>
    <w:p w14:paraId="41F2F4A6">
      <w:pPr>
        <w:spacing w:line="596" w:lineRule="exact"/>
        <w:ind w:firstLine="640"/>
        <w:rPr>
          <w:rFonts w:cs="Times New Roman"/>
        </w:rPr>
      </w:pPr>
      <w:bookmarkStart w:id="345" w:name="_Toc17929"/>
      <w:bookmarkStart w:id="346" w:name="_Toc10129"/>
      <w:r>
        <w:rPr>
          <w:rFonts w:cs="Times New Roman"/>
        </w:rPr>
        <w:t>中心城区按照“地域完整、边界稳定、规模合理”的原则，合理划定详细规划编制单元。</w:t>
      </w:r>
    </w:p>
    <w:p w14:paraId="35F1B6E6">
      <w:pPr>
        <w:spacing w:line="596" w:lineRule="exact"/>
        <w:rPr>
          <w:rFonts w:cs="Times New Roman"/>
        </w:rPr>
      </w:pPr>
      <w:r>
        <w:rPr>
          <w:rFonts w:hint="eastAsia" w:cs="Times New Roman"/>
        </w:rPr>
        <w:t>乡村地区编制实用性村庄规划和“通则式”村庄规划，作为详细规划。</w:t>
      </w:r>
      <w:r>
        <w:rPr>
          <w:rFonts w:cs="Times New Roman"/>
        </w:rPr>
        <w:t>有乡村产业发展需求、需要进行适度开发建设，以及推进农村人居环境整治力度大的村庄，编制实用性村庄规划，通过规划引领村庄发展和建设。近期建设需求较少或建设资金有限的村庄，可编制“通则式”村庄规划，满足村庄基本的建设管控需求和核发乡村建设规划许可的条件。</w:t>
      </w:r>
    </w:p>
    <w:p w14:paraId="5E76EBBD">
      <w:pPr>
        <w:pStyle w:val="3"/>
        <w:numPr>
          <w:ilvl w:val="0"/>
          <w:numId w:val="11"/>
        </w:numPr>
      </w:pPr>
      <w:bookmarkStart w:id="347" w:name="_Toc25402"/>
      <w:r>
        <w:t>规划全生命周期管理</w:t>
      </w:r>
      <w:bookmarkEnd w:id="345"/>
      <w:bookmarkEnd w:id="346"/>
      <w:bookmarkEnd w:id="347"/>
    </w:p>
    <w:p w14:paraId="525A2A42">
      <w:pPr>
        <w:pStyle w:val="47"/>
        <w:spacing w:before="0" w:beforeLines="0" w:line="596" w:lineRule="exact"/>
        <w:ind w:firstLine="640"/>
        <w:rPr>
          <w:b w:val="0"/>
        </w:rPr>
      </w:pPr>
      <w:bookmarkStart w:id="348" w:name="_Toc24918"/>
      <w:bookmarkStart w:id="349" w:name="_Toc14039"/>
      <w:bookmarkStart w:id="350" w:name="_Toc23827"/>
      <w:r>
        <w:rPr>
          <w:b w:val="0"/>
        </w:rPr>
        <w:t>国土空间基础信息平台</w:t>
      </w:r>
      <w:bookmarkEnd w:id="348"/>
      <w:bookmarkEnd w:id="349"/>
      <w:bookmarkEnd w:id="350"/>
    </w:p>
    <w:p w14:paraId="749F55BE">
      <w:pPr>
        <w:spacing w:line="596" w:lineRule="exact"/>
        <w:ind w:firstLine="640"/>
        <w:rPr>
          <w:rFonts w:cs="Times New Roman"/>
        </w:rPr>
      </w:pPr>
      <w:r>
        <w:rPr>
          <w:rFonts w:cs="Times New Roman"/>
        </w:rPr>
        <w:t>构建统一共享的国土空间基础信息平台。以基础地理信息成果和国土调查成果为基础，采用全国统一的测绘基准和测绘系统，统筹地理国情、森林、草原、水、湿地</w:t>
      </w:r>
      <w:r>
        <w:rPr>
          <w:rFonts w:hint="eastAsia" w:cs="Times New Roman"/>
        </w:rPr>
        <w:t>、气象</w:t>
      </w:r>
      <w:r>
        <w:rPr>
          <w:rFonts w:cs="Times New Roman"/>
        </w:rPr>
        <w:t>等专项调查和相关评价数据，融合人口经济社会等相关空间数据，多部门基础数据，形成覆盖兰考县全域、上下贯通、动态更新、权威统一、三维立体的国土空间数字化底板。</w:t>
      </w:r>
    </w:p>
    <w:p w14:paraId="14F56FAA">
      <w:pPr>
        <w:spacing w:line="596" w:lineRule="exact"/>
        <w:ind w:firstLine="640"/>
        <w:rPr>
          <w:rFonts w:cs="Times New Roman"/>
        </w:rPr>
      </w:pPr>
      <w:r>
        <w:rPr>
          <w:rFonts w:cs="Times New Roman"/>
        </w:rPr>
        <w:t>建设图数一致的国土空间规划“一张图”。以国土空间基础信息平台为底板，完成县、乡两级国土空间规划和村庄规划成果逐级汇交和入库，统一质检确保成果数据图数一致、坐标吻合、上下一体，并将详细规划和相关专项规划成果整合叠加后向县级平台汇总，建成信息全面、权威统一的国土空间规划“一张图”。基于国土空间规划“一张图”实现对现状感知、规划编制、规划审批、规划实施、监测评估预警等国土空间治理的全流程在线管理。</w:t>
      </w:r>
    </w:p>
    <w:p w14:paraId="24965034">
      <w:pPr>
        <w:pStyle w:val="47"/>
        <w:spacing w:before="0" w:beforeLines="0" w:line="596" w:lineRule="exact"/>
        <w:ind w:firstLine="640"/>
        <w:rPr>
          <w:b w:val="0"/>
        </w:rPr>
      </w:pPr>
      <w:bookmarkStart w:id="351" w:name="_Toc17921"/>
      <w:bookmarkStart w:id="352" w:name="_Toc17934"/>
      <w:bookmarkStart w:id="353" w:name="_Toc13775"/>
      <w:r>
        <w:rPr>
          <w:b w:val="0"/>
        </w:rPr>
        <w:t>城市体检评估</w:t>
      </w:r>
      <w:bookmarkEnd w:id="351"/>
      <w:bookmarkEnd w:id="352"/>
      <w:bookmarkEnd w:id="353"/>
    </w:p>
    <w:p w14:paraId="3A120C2E">
      <w:pPr>
        <w:spacing w:line="596" w:lineRule="exact"/>
        <w:ind w:firstLine="640"/>
        <w:rPr>
          <w:rFonts w:cs="Times New Roman"/>
        </w:rPr>
      </w:pPr>
      <w:r>
        <w:rPr>
          <w:rFonts w:cs="Times New Roman"/>
        </w:rPr>
        <w:t>按照“</w:t>
      </w:r>
      <w:r>
        <w:rPr>
          <w:rFonts w:hint="eastAsia" w:cs="Times New Roman"/>
        </w:rPr>
        <w:t>定期</w:t>
      </w:r>
      <w:r>
        <w:rPr>
          <w:rFonts w:cs="Times New Roman"/>
        </w:rPr>
        <w:t>体检、五年评估”要求，对国土空间规划中各类管控边界、约束性指标等的落实情况进行监督检查，根据评估结果对国土空间规划进行动态调整完善</w:t>
      </w:r>
      <w:r>
        <w:rPr>
          <w:rFonts w:hint="eastAsia" w:cs="Times New Roman"/>
        </w:rPr>
        <w:t>，并有序推进以老城区</w:t>
      </w:r>
      <w:r>
        <w:rPr>
          <w:rFonts w:hint="eastAsia"/>
        </w:rPr>
        <w:t>“三区一村”改造为重点的</w:t>
      </w:r>
      <w:r>
        <w:rPr>
          <w:rFonts w:hint="eastAsia" w:cs="Times New Roman"/>
        </w:rPr>
        <w:t>城市更新。</w:t>
      </w:r>
    </w:p>
    <w:p w14:paraId="10E62E3D">
      <w:pPr>
        <w:pStyle w:val="47"/>
        <w:spacing w:before="0" w:beforeLines="0" w:line="596" w:lineRule="exact"/>
        <w:ind w:firstLine="640"/>
        <w:rPr>
          <w:b w:val="0"/>
        </w:rPr>
      </w:pPr>
      <w:bookmarkStart w:id="354" w:name="_Toc11492"/>
      <w:bookmarkStart w:id="355" w:name="_Toc13617"/>
      <w:bookmarkStart w:id="356" w:name="_Toc12939"/>
      <w:r>
        <w:rPr>
          <w:b w:val="0"/>
        </w:rPr>
        <w:t>规划监测评估预警</w:t>
      </w:r>
      <w:bookmarkEnd w:id="354"/>
      <w:bookmarkEnd w:id="355"/>
      <w:bookmarkEnd w:id="356"/>
    </w:p>
    <w:p w14:paraId="63861E64">
      <w:pPr>
        <w:spacing w:line="596" w:lineRule="exact"/>
        <w:ind w:firstLine="640"/>
        <w:rPr>
          <w:rFonts w:cs="Times New Roman"/>
        </w:rPr>
      </w:pPr>
      <w:r>
        <w:rPr>
          <w:rFonts w:cs="Times New Roman"/>
        </w:rPr>
        <w:t>建设兰考县国土空间规划实施监测网络，对资源环境承载能力和国土空间开发适宜性、国土空间开发保护状况实施动态监测评估。重点加强规划指标、三条控制线、用地管控情况、重大建设项目等规划实施情况的监测预警，应用于动态监测、周期体检、专项评估等工作。</w:t>
      </w:r>
    </w:p>
    <w:p w14:paraId="5573E983">
      <w:pPr>
        <w:pStyle w:val="47"/>
        <w:spacing w:before="0" w:beforeLines="0" w:line="596" w:lineRule="exact"/>
        <w:ind w:firstLine="640"/>
        <w:rPr>
          <w:b w:val="0"/>
        </w:rPr>
      </w:pPr>
      <w:bookmarkStart w:id="357" w:name="_Toc26504"/>
      <w:bookmarkStart w:id="358" w:name="_Toc22165"/>
      <w:bookmarkStart w:id="359" w:name="_Toc27383"/>
      <w:r>
        <w:rPr>
          <w:b w:val="0"/>
        </w:rPr>
        <w:t>规划实施监督问责</w:t>
      </w:r>
      <w:bookmarkEnd w:id="357"/>
      <w:bookmarkEnd w:id="358"/>
      <w:bookmarkEnd w:id="359"/>
    </w:p>
    <w:p w14:paraId="5313D248">
      <w:pPr>
        <w:spacing w:line="596" w:lineRule="exact"/>
        <w:ind w:firstLine="640"/>
        <w:rPr>
          <w:rFonts w:cs="Times New Roman"/>
        </w:rPr>
      </w:pPr>
      <w:r>
        <w:rPr>
          <w:rFonts w:cs="Times New Roman"/>
        </w:rPr>
        <w:t>建立规划编制、审批、修改和实施监督全程留痕制度，在国土空间规划“一张图”实施监督信息系统中设置自动强制留痕功能，确保规划管理行为全过程可回溯、可查询，及时发现和纠正违反国土空间规划的各类行为。健全规划监督、执法、问责联动机制，创新监督手段，强化监督信息互通、成果共享，形成各方监督合力。对违反规划要求、落实规划不力，造成严重损失和重大影响的单位及个人坚决严肃查处，依法追究责任。</w:t>
      </w:r>
    </w:p>
    <w:p w14:paraId="0038ED8B">
      <w:pPr>
        <w:pStyle w:val="3"/>
        <w:numPr>
          <w:ilvl w:val="0"/>
          <w:numId w:val="11"/>
        </w:numPr>
      </w:pPr>
      <w:bookmarkStart w:id="360" w:name="_Toc11131"/>
      <w:bookmarkStart w:id="361" w:name="_Toc5739"/>
      <w:bookmarkStart w:id="362" w:name="_Toc5073"/>
      <w:r>
        <w:t>近期实施重点任务和行动计划</w:t>
      </w:r>
      <w:bookmarkEnd w:id="360"/>
      <w:bookmarkEnd w:id="361"/>
      <w:bookmarkEnd w:id="362"/>
    </w:p>
    <w:p w14:paraId="057C9D5F">
      <w:pPr>
        <w:pStyle w:val="47"/>
        <w:spacing w:before="0" w:beforeLines="0" w:line="596" w:lineRule="exact"/>
        <w:ind w:firstLine="640"/>
        <w:rPr>
          <w:b w:val="0"/>
        </w:rPr>
      </w:pPr>
      <w:bookmarkStart w:id="363" w:name="_Toc16963"/>
      <w:bookmarkStart w:id="364" w:name="_Toc14205"/>
      <w:bookmarkStart w:id="365" w:name="_Toc18049"/>
      <w:r>
        <w:rPr>
          <w:b w:val="0"/>
        </w:rPr>
        <w:t>近期实施重点任务</w:t>
      </w:r>
      <w:bookmarkEnd w:id="363"/>
      <w:bookmarkEnd w:id="364"/>
      <w:bookmarkEnd w:id="365"/>
    </w:p>
    <w:p w14:paraId="28C9D2C3">
      <w:pPr>
        <w:spacing w:line="596" w:lineRule="exact"/>
        <w:ind w:firstLine="640"/>
        <w:rPr>
          <w:rFonts w:cs="Times New Roman"/>
        </w:rPr>
      </w:pPr>
      <w:r>
        <w:rPr>
          <w:rFonts w:cs="Times New Roman"/>
        </w:rPr>
        <w:t>衔接十四五规划，加强对于国土空间规划目标任务的分解落实和实施推动，统筹各类专项行动，落实重大项目（见附表8）推进要求，滚动编制近期行动规划以及年度实施计划。</w:t>
      </w:r>
      <w:r>
        <w:rPr>
          <w:rFonts w:hint="eastAsia" w:cs="Times New Roman"/>
        </w:rPr>
        <w:t>重大项目前期阶段应开展相关可行性等论证。</w:t>
      </w:r>
    </w:p>
    <w:p w14:paraId="2F409205">
      <w:pPr>
        <w:pStyle w:val="47"/>
        <w:spacing w:before="0" w:beforeLines="0" w:line="596" w:lineRule="exact"/>
        <w:ind w:firstLine="640"/>
        <w:rPr>
          <w:b w:val="0"/>
        </w:rPr>
      </w:pPr>
      <w:bookmarkStart w:id="366" w:name="_Toc29666"/>
      <w:bookmarkStart w:id="367" w:name="_Toc16464"/>
      <w:bookmarkStart w:id="368" w:name="_Toc31442"/>
      <w:bookmarkStart w:id="369" w:name="_Toc15490"/>
      <w:r>
        <w:rPr>
          <w:b w:val="0"/>
        </w:rPr>
        <w:t>近期行动计划</w:t>
      </w:r>
    </w:p>
    <w:p w14:paraId="336D468E">
      <w:pPr>
        <w:spacing w:line="596" w:lineRule="exact"/>
        <w:ind w:firstLine="640"/>
        <w:rPr>
          <w:rFonts w:cs="Times New Roman"/>
        </w:rPr>
      </w:pPr>
      <w:r>
        <w:rPr>
          <w:rFonts w:cs="Times New Roman"/>
        </w:rPr>
        <w:t>1.县域</w:t>
      </w:r>
    </w:p>
    <w:p w14:paraId="70405BB1">
      <w:pPr>
        <w:spacing w:line="596" w:lineRule="exact"/>
        <w:ind w:firstLine="640"/>
        <w:rPr>
          <w:rFonts w:cs="Times New Roman"/>
        </w:rPr>
      </w:pPr>
      <w:r>
        <w:rPr>
          <w:rFonts w:cs="Times New Roman"/>
        </w:rPr>
        <w:t>城镇建设规模：至2025年，县域城镇建设用地规模控制在67.5平方公里以内，县域人均城镇建设用地规模为147</w:t>
      </w:r>
      <w:r>
        <w:rPr>
          <w:rFonts w:hint="eastAsia" w:cs="Times New Roman"/>
        </w:rPr>
        <w:t>.08</w:t>
      </w:r>
      <w:r>
        <w:rPr>
          <w:rFonts w:cs="Times New Roman"/>
        </w:rPr>
        <w:t>平方米。</w:t>
      </w:r>
    </w:p>
    <w:p w14:paraId="14E356C3">
      <w:pPr>
        <w:spacing w:line="596" w:lineRule="exact"/>
        <w:ind w:firstLine="640"/>
        <w:rPr>
          <w:rFonts w:cs="Times New Roman"/>
        </w:rPr>
      </w:pPr>
      <w:r>
        <w:rPr>
          <w:rFonts w:cs="Times New Roman"/>
        </w:rPr>
        <w:t>乡村居民点建设：按照村庄分类布局，有序开展滩区内村庄迁建；对特色保护型村庄，按照相关保护要求进行保护建设；通过村庄整治，逐步减小整治改善类村庄规模；流量指标用于支持有产业基础的集聚提升类村庄的乡村产业发展和配套设施完善；对于划入城镇开发边界的村庄有计划、分步骤</w:t>
      </w:r>
      <w:r>
        <w:rPr>
          <w:rFonts w:hint="eastAsia" w:cs="Times New Roman"/>
        </w:rPr>
        <w:t>地</w:t>
      </w:r>
      <w:r>
        <w:rPr>
          <w:rFonts w:cs="Times New Roman"/>
        </w:rPr>
        <w:t>实施城镇化改造。</w:t>
      </w:r>
    </w:p>
    <w:p w14:paraId="5ED22E63">
      <w:pPr>
        <w:spacing w:line="596" w:lineRule="exact"/>
        <w:ind w:firstLine="640"/>
        <w:rPr>
          <w:rFonts w:cs="Times New Roman"/>
        </w:rPr>
      </w:pPr>
      <w:r>
        <w:rPr>
          <w:rFonts w:cs="Times New Roman"/>
        </w:rPr>
        <w:t>高标准农田建设：近期重点在谷营镇北部和考城镇东部新建12万亩高标准农田，对现状60万亩高标准农田进行提质改造。</w:t>
      </w:r>
    </w:p>
    <w:p w14:paraId="7EBAE930">
      <w:pPr>
        <w:spacing w:line="596" w:lineRule="exact"/>
        <w:ind w:firstLine="640"/>
        <w:rPr>
          <w:rFonts w:cs="Times New Roman"/>
        </w:rPr>
      </w:pPr>
      <w:r>
        <w:rPr>
          <w:rFonts w:cs="Times New Roman"/>
        </w:rPr>
        <w:t>国土空间整治与修复：结合滩区村庄拆迁撤并，推进滩区内的复垦，保障粮食安全，同时开展养殖场拆迁和养殖鱼塘退养，有效保护黄河生态安全；开展</w:t>
      </w:r>
      <w:r>
        <w:rPr>
          <w:rFonts w:hint="eastAsia" w:cs="Times New Roman"/>
        </w:rPr>
        <w:t>兰考县仪封镇和葡萄架乡全域土地综合整治项目</w:t>
      </w:r>
      <w:r>
        <w:rPr>
          <w:rFonts w:cs="Times New Roman"/>
        </w:rPr>
        <w:t>，为兰考县以乡镇为基本单元实施土地综合整治提供经验；加快南水北调引水工程，优化用水结构，减少地下水开采，改善地下水超采状况；盘活闲置低效用地，优先使用批而未建用地，提高城镇建设用地使用效率。</w:t>
      </w:r>
    </w:p>
    <w:p w14:paraId="089E5DB9">
      <w:pPr>
        <w:spacing w:line="596" w:lineRule="exact"/>
        <w:ind w:left="640" w:firstLine="0" w:firstLineChars="0"/>
        <w:rPr>
          <w:rFonts w:cs="Times New Roman"/>
        </w:rPr>
      </w:pPr>
      <w:r>
        <w:rPr>
          <w:rFonts w:hint="eastAsia" w:cs="Times New Roman"/>
        </w:rPr>
        <w:t>2</w:t>
      </w:r>
      <w:r>
        <w:rPr>
          <w:rFonts w:cs="Times New Roman"/>
        </w:rPr>
        <w:t>.中心城区</w:t>
      </w:r>
    </w:p>
    <w:p w14:paraId="473ABF9D">
      <w:pPr>
        <w:spacing w:line="596" w:lineRule="exact"/>
        <w:ind w:firstLine="640"/>
        <w:rPr>
          <w:rFonts w:cs="Times New Roman"/>
        </w:rPr>
      </w:pPr>
      <w:r>
        <w:rPr>
          <w:rFonts w:cs="Times New Roman"/>
        </w:rPr>
        <w:t>城区建设规模控制：以城区现状城镇建设用地为基础，优先保障成片开发方案、2021年以来批准建设用地、近期拟实施重点项目，将与城区关联紧密的其他用地统筹考虑，作为近期城区建设重点。城区近期重点项目建设：向西为以郑开兰特别合作区为核心，沿汴兰大道向西延展商务、研发、会展等生产性服务业，重点建设智能制造业产业集群、绿色科技产业园；向南完善经济技术开发区的设施配套、更新低效用地，重点建设现代家居产业集群、节能环保产业集群。</w:t>
      </w:r>
    </w:p>
    <w:p w14:paraId="772A6EBD">
      <w:pPr>
        <w:spacing w:line="596" w:lineRule="exact"/>
        <w:ind w:firstLine="640"/>
        <w:rPr>
          <w:rFonts w:hint="eastAsia" w:eastAsia="仿宋_GB2312"/>
          <w:lang w:eastAsia="zh-CN"/>
        </w:rPr>
      </w:pPr>
      <w:r>
        <w:rPr>
          <w:rFonts w:cs="Times New Roman"/>
        </w:rPr>
        <w:t>城市更新规划与提质：以老旧小区、老旧街区、老旧厂区、城中村等为重点，开展城市更新改造，切实改善基础设施、公共服务设施、城市韧性和生态环境水平。重点建设三义寨滩区村庄安置区；推进</w:t>
      </w:r>
      <w:r>
        <w:rPr>
          <w:rFonts w:hint="eastAsia" w:cs="Times New Roman"/>
        </w:rPr>
        <w:t>韩村</w:t>
      </w:r>
      <w:r>
        <w:rPr>
          <w:rFonts w:cs="Times New Roman"/>
        </w:rPr>
        <w:t>等10个</w:t>
      </w:r>
      <w:r>
        <w:rPr>
          <w:rFonts w:hint="eastAsia" w:cs="Times New Roman"/>
        </w:rPr>
        <w:t>自然村</w:t>
      </w:r>
      <w:r>
        <w:rPr>
          <w:rFonts w:cs="Times New Roman"/>
        </w:rPr>
        <w:t>、南湖周边</w:t>
      </w:r>
      <w:r>
        <w:rPr>
          <w:rFonts w:hint="eastAsia" w:cs="Times New Roman"/>
        </w:rPr>
        <w:t>居民区</w:t>
      </w:r>
      <w:r>
        <w:rPr>
          <w:rFonts w:cs="Times New Roman"/>
        </w:rPr>
        <w:t>等5个</w:t>
      </w:r>
      <w:r>
        <w:rPr>
          <w:rFonts w:hint="eastAsia" w:cs="Times New Roman"/>
        </w:rPr>
        <w:t>老旧小区</w:t>
      </w:r>
      <w:r>
        <w:rPr>
          <w:rFonts w:cs="Times New Roman"/>
        </w:rPr>
        <w:t>实施拆迁改造；推进对2000年底前建成的28个老旧小区进行改造提升；重点对兰阳河南侧滨水空间更新改造；逐步盘活闲置低效用地，对油田片区、经济技术开发区老旧厂区进行更新改造</w:t>
      </w:r>
      <w:bookmarkEnd w:id="366"/>
      <w:bookmarkEnd w:id="367"/>
      <w:bookmarkEnd w:id="368"/>
      <w:bookmarkEnd w:id="369"/>
      <w:r>
        <w:rPr>
          <w:rFonts w:hint="eastAsia" w:cs="Times New Roman"/>
          <w:lang w:eastAsia="zh-CN"/>
        </w:rPr>
        <w:t>。</w:t>
      </w:r>
    </w:p>
    <w:sectPr>
      <w:pgSz w:w="11906" w:h="16838"/>
      <w:pgMar w:top="1797" w:right="1440" w:bottom="1797" w:left="1440" w:header="851" w:footer="992" w:gutter="0"/>
      <w:cols w:space="0" w:num="1"/>
      <w:docGrid w:type="linesAndChar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TimesNewRomanPSMT">
    <w:altName w:val="Times New Roman"/>
    <w:panose1 w:val="00000000000000000000"/>
    <w:charset w:val="00"/>
    <w:family w:val="roman"/>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8462323"/>
    </w:sdtPr>
    <w:sdtContent>
      <w:p w14:paraId="6A50ABB6">
        <w:pPr>
          <w:pStyle w:val="12"/>
        </w:pPr>
        <w:r>
          <w:fldChar w:fldCharType="begin"/>
        </w:r>
        <w:r>
          <w:instrText xml:space="preserve">PAGE   \* MERGEFORMAT</w:instrText>
        </w:r>
        <w:r>
          <w:fldChar w:fldCharType="separate"/>
        </w:r>
        <w:r>
          <w:rPr>
            <w:lang w:val="zh-CN"/>
          </w:rPr>
          <w:t>IV</w:t>
        </w:r>
        <w:r>
          <w:fldChar w:fldCharType="end"/>
        </w:r>
      </w:p>
    </w:sdtContent>
  </w:sdt>
  <w:p w14:paraId="0E8CCCB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DDA53">
    <w:pPr>
      <w:pStyle w:val="12"/>
    </w:pPr>
    <w:r>
      <w:fldChar w:fldCharType="begin"/>
    </w:r>
    <w:r>
      <w:instrText xml:space="preserve">PAGE   \* MERGEFORMAT</w:instrText>
    </w:r>
    <w:r>
      <w:fldChar w:fldCharType="separate"/>
    </w:r>
    <w:r>
      <w:rPr>
        <w:lang w:val="zh-CN"/>
      </w:rPr>
      <w:t>21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CE10C">
    <w:pPr>
      <w:pStyle w:val="12"/>
    </w:pPr>
    <w:r>
      <w:fldChar w:fldCharType="begin"/>
    </w:r>
    <w:r>
      <w:instrText xml:space="preserve">PAGE   \* MERGEFORMAT</w:instrText>
    </w:r>
    <w:r>
      <w:fldChar w:fldCharType="separate"/>
    </w:r>
    <w:r>
      <w:rPr>
        <w:lang w:val="zh-CN"/>
      </w:rPr>
      <w:t>180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E4E45">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E6139">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01FDD">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F4B1C">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D93C0"/>
    <w:multiLevelType w:val="singleLevel"/>
    <w:tmpl w:val="9C4D93C0"/>
    <w:lvl w:ilvl="0" w:tentative="0">
      <w:start w:val="1"/>
      <w:numFmt w:val="chineseCounting"/>
      <w:pStyle w:val="3"/>
      <w:suff w:val="space"/>
      <w:lvlText w:val="第%1节 "/>
      <w:lvlJc w:val="left"/>
      <w:pPr>
        <w:tabs>
          <w:tab w:val="left" w:pos="0"/>
        </w:tabs>
      </w:pPr>
      <w:rPr>
        <w:rFonts w:hint="eastAsia" w:ascii="宋体" w:hAnsi="宋体" w:eastAsia="黑体" w:cs="宋体"/>
        <w:b w:val="0"/>
        <w:sz w:val="32"/>
      </w:rPr>
    </w:lvl>
  </w:abstractNum>
  <w:abstractNum w:abstractNumId="1">
    <w:nsid w:val="019A1B52"/>
    <w:multiLevelType w:val="singleLevel"/>
    <w:tmpl w:val="019A1B52"/>
    <w:lvl w:ilvl="0" w:tentative="0">
      <w:start w:val="1"/>
      <w:numFmt w:val="decimal"/>
      <w:pStyle w:val="47"/>
      <w:suff w:val="nothing"/>
      <w:lvlText w:val="第%1条  "/>
      <w:lvlJc w:val="left"/>
      <w:pPr>
        <w:tabs>
          <w:tab w:val="left" w:pos="0"/>
        </w:tabs>
        <w:ind w:left="0" w:firstLine="0"/>
      </w:pPr>
      <w:rPr>
        <w:rFonts w:hint="default" w:ascii="Times New Roman" w:hAnsi="Times New Roman" w:eastAsia="楷体" w:cs="Times New Roman"/>
        <w:b w:val="0"/>
        <w:bCs/>
        <w:sz w:val="32"/>
        <w:szCs w:val="32"/>
      </w:rPr>
    </w:lvl>
  </w:abstractNum>
  <w:abstractNum w:abstractNumId="2">
    <w:nsid w:val="4C912DD5"/>
    <w:multiLevelType w:val="singleLevel"/>
    <w:tmpl w:val="4C912DD5"/>
    <w:lvl w:ilvl="0" w:tentative="0">
      <w:start w:val="1"/>
      <w:numFmt w:val="chineseCounting"/>
      <w:suff w:val="space"/>
      <w:lvlText w:val="第%1节 "/>
      <w:lvlJc w:val="left"/>
      <w:pPr>
        <w:tabs>
          <w:tab w:val="left" w:pos="0"/>
        </w:tabs>
      </w:pPr>
      <w:rPr>
        <w:rFonts w:hint="eastAsia" w:ascii="宋体" w:hAnsi="宋体" w:eastAsia="黑体" w:cs="宋体"/>
        <w:b w:val="0"/>
        <w:sz w:val="32"/>
      </w:rPr>
    </w:lvl>
  </w:abstractNum>
  <w:abstractNum w:abstractNumId="3">
    <w:nsid w:val="79A57E40"/>
    <w:multiLevelType w:val="multilevel"/>
    <w:tmpl w:val="79A57E40"/>
    <w:lvl w:ilvl="0" w:tentative="0">
      <w:start w:val="1"/>
      <w:numFmt w:val="chineseCountingThousand"/>
      <w:pStyle w:val="2"/>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lvlOverride w:ilvl="0">
      <w:startOverride w:val="1"/>
    </w:lvlOverride>
  </w:num>
  <w:num w:numId="3">
    <w:abstractNumId w:val="1"/>
  </w:num>
  <w:num w:numId="4">
    <w:abstractNumId w:val="0"/>
    <w:lvlOverride w:ilvl="0">
      <w:startOverride w:val="1"/>
    </w:lvlOverride>
  </w:num>
  <w:num w:numId="5">
    <w:abstractNumId w:val="2"/>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HorizontalSpacing w:val="160"/>
  <w:drawingGridVerticalSpacing w:val="435"/>
  <w:displayHorizontalDrawingGridEvery w:val="2"/>
  <w:noPunctuationKerning w:val="1"/>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wY2RjMTQxNDc0NzE4NzQyYWRmOGU0MWY0ZDNlNmEifQ=="/>
  </w:docVars>
  <w:rsids>
    <w:rsidRoot w:val="00172A27"/>
    <w:rsid w:val="00000046"/>
    <w:rsid w:val="000006E9"/>
    <w:rsid w:val="00000EA7"/>
    <w:rsid w:val="0000160E"/>
    <w:rsid w:val="0000273C"/>
    <w:rsid w:val="0000367E"/>
    <w:rsid w:val="00003C6F"/>
    <w:rsid w:val="00003D3B"/>
    <w:rsid w:val="00003E00"/>
    <w:rsid w:val="000047A6"/>
    <w:rsid w:val="000048C3"/>
    <w:rsid w:val="00005CE4"/>
    <w:rsid w:val="00005D76"/>
    <w:rsid w:val="00006F2D"/>
    <w:rsid w:val="0000734E"/>
    <w:rsid w:val="00010090"/>
    <w:rsid w:val="0001030C"/>
    <w:rsid w:val="000122D0"/>
    <w:rsid w:val="00012AC5"/>
    <w:rsid w:val="00013DA3"/>
    <w:rsid w:val="00015045"/>
    <w:rsid w:val="00016834"/>
    <w:rsid w:val="000178BE"/>
    <w:rsid w:val="000209D7"/>
    <w:rsid w:val="00021202"/>
    <w:rsid w:val="0002170A"/>
    <w:rsid w:val="000218AC"/>
    <w:rsid w:val="00022158"/>
    <w:rsid w:val="00022C10"/>
    <w:rsid w:val="00022D68"/>
    <w:rsid w:val="00023177"/>
    <w:rsid w:val="00026E52"/>
    <w:rsid w:val="0002738D"/>
    <w:rsid w:val="0002761A"/>
    <w:rsid w:val="000301D4"/>
    <w:rsid w:val="00030423"/>
    <w:rsid w:val="00030D5B"/>
    <w:rsid w:val="00032345"/>
    <w:rsid w:val="000328F1"/>
    <w:rsid w:val="000337DB"/>
    <w:rsid w:val="000342A9"/>
    <w:rsid w:val="00034753"/>
    <w:rsid w:val="00034B4E"/>
    <w:rsid w:val="00035859"/>
    <w:rsid w:val="000362D5"/>
    <w:rsid w:val="000367CD"/>
    <w:rsid w:val="00036897"/>
    <w:rsid w:val="00036E0A"/>
    <w:rsid w:val="00037CA3"/>
    <w:rsid w:val="00037DE4"/>
    <w:rsid w:val="00037E95"/>
    <w:rsid w:val="0004043B"/>
    <w:rsid w:val="000408C1"/>
    <w:rsid w:val="000412A8"/>
    <w:rsid w:val="0004229B"/>
    <w:rsid w:val="000426DE"/>
    <w:rsid w:val="00043447"/>
    <w:rsid w:val="00043F54"/>
    <w:rsid w:val="000444A0"/>
    <w:rsid w:val="000449A3"/>
    <w:rsid w:val="00044A2F"/>
    <w:rsid w:val="00044AAF"/>
    <w:rsid w:val="00044DA6"/>
    <w:rsid w:val="00050442"/>
    <w:rsid w:val="00050610"/>
    <w:rsid w:val="00050CCE"/>
    <w:rsid w:val="000514FA"/>
    <w:rsid w:val="000527C6"/>
    <w:rsid w:val="000555DD"/>
    <w:rsid w:val="00057D98"/>
    <w:rsid w:val="00057F78"/>
    <w:rsid w:val="00061767"/>
    <w:rsid w:val="00061C81"/>
    <w:rsid w:val="00062116"/>
    <w:rsid w:val="0006378C"/>
    <w:rsid w:val="00064846"/>
    <w:rsid w:val="00065ED9"/>
    <w:rsid w:val="00066151"/>
    <w:rsid w:val="00066B47"/>
    <w:rsid w:val="00067135"/>
    <w:rsid w:val="0006798C"/>
    <w:rsid w:val="000679E4"/>
    <w:rsid w:val="00067EFC"/>
    <w:rsid w:val="00070268"/>
    <w:rsid w:val="00070EE2"/>
    <w:rsid w:val="00071024"/>
    <w:rsid w:val="0007142D"/>
    <w:rsid w:val="00071889"/>
    <w:rsid w:val="00072181"/>
    <w:rsid w:val="0007375D"/>
    <w:rsid w:val="00073D67"/>
    <w:rsid w:val="00074002"/>
    <w:rsid w:val="000744A2"/>
    <w:rsid w:val="0007514A"/>
    <w:rsid w:val="000753AC"/>
    <w:rsid w:val="000754B3"/>
    <w:rsid w:val="0007767B"/>
    <w:rsid w:val="00077827"/>
    <w:rsid w:val="00080CA7"/>
    <w:rsid w:val="0008144B"/>
    <w:rsid w:val="00083438"/>
    <w:rsid w:val="00083E7B"/>
    <w:rsid w:val="00084F62"/>
    <w:rsid w:val="00086B51"/>
    <w:rsid w:val="00086E4B"/>
    <w:rsid w:val="000911C8"/>
    <w:rsid w:val="00092411"/>
    <w:rsid w:val="00092B00"/>
    <w:rsid w:val="00093FD7"/>
    <w:rsid w:val="0009437D"/>
    <w:rsid w:val="000945DF"/>
    <w:rsid w:val="000947A6"/>
    <w:rsid w:val="000952D7"/>
    <w:rsid w:val="0009539B"/>
    <w:rsid w:val="000967A4"/>
    <w:rsid w:val="000968A4"/>
    <w:rsid w:val="000A0158"/>
    <w:rsid w:val="000A0913"/>
    <w:rsid w:val="000A1248"/>
    <w:rsid w:val="000A1363"/>
    <w:rsid w:val="000A1437"/>
    <w:rsid w:val="000A17D0"/>
    <w:rsid w:val="000A1A12"/>
    <w:rsid w:val="000A242C"/>
    <w:rsid w:val="000A3433"/>
    <w:rsid w:val="000A3456"/>
    <w:rsid w:val="000A36FD"/>
    <w:rsid w:val="000A3F50"/>
    <w:rsid w:val="000A552D"/>
    <w:rsid w:val="000A59DC"/>
    <w:rsid w:val="000A6913"/>
    <w:rsid w:val="000A6B54"/>
    <w:rsid w:val="000A6ECD"/>
    <w:rsid w:val="000B1327"/>
    <w:rsid w:val="000B1440"/>
    <w:rsid w:val="000B1774"/>
    <w:rsid w:val="000B2E54"/>
    <w:rsid w:val="000B32F5"/>
    <w:rsid w:val="000B4EA6"/>
    <w:rsid w:val="000B5021"/>
    <w:rsid w:val="000B5993"/>
    <w:rsid w:val="000B6830"/>
    <w:rsid w:val="000B71F8"/>
    <w:rsid w:val="000B75F4"/>
    <w:rsid w:val="000B78F3"/>
    <w:rsid w:val="000C002E"/>
    <w:rsid w:val="000C09E3"/>
    <w:rsid w:val="000C10BF"/>
    <w:rsid w:val="000C11D8"/>
    <w:rsid w:val="000C1691"/>
    <w:rsid w:val="000C217E"/>
    <w:rsid w:val="000C2792"/>
    <w:rsid w:val="000C2853"/>
    <w:rsid w:val="000C285C"/>
    <w:rsid w:val="000C3883"/>
    <w:rsid w:val="000C3A86"/>
    <w:rsid w:val="000C3BF4"/>
    <w:rsid w:val="000C40B1"/>
    <w:rsid w:val="000C44B0"/>
    <w:rsid w:val="000C520F"/>
    <w:rsid w:val="000C5564"/>
    <w:rsid w:val="000C5BBF"/>
    <w:rsid w:val="000C680B"/>
    <w:rsid w:val="000C790B"/>
    <w:rsid w:val="000D040C"/>
    <w:rsid w:val="000D07A2"/>
    <w:rsid w:val="000D0B64"/>
    <w:rsid w:val="000D139C"/>
    <w:rsid w:val="000D13AE"/>
    <w:rsid w:val="000D1EA9"/>
    <w:rsid w:val="000D21DE"/>
    <w:rsid w:val="000D224F"/>
    <w:rsid w:val="000D28D7"/>
    <w:rsid w:val="000D3BEB"/>
    <w:rsid w:val="000D3CDF"/>
    <w:rsid w:val="000D3F08"/>
    <w:rsid w:val="000D4006"/>
    <w:rsid w:val="000D4BBE"/>
    <w:rsid w:val="000D5F8E"/>
    <w:rsid w:val="000D6694"/>
    <w:rsid w:val="000D672C"/>
    <w:rsid w:val="000D6BC9"/>
    <w:rsid w:val="000D6BCB"/>
    <w:rsid w:val="000E090D"/>
    <w:rsid w:val="000E0B1C"/>
    <w:rsid w:val="000E10AE"/>
    <w:rsid w:val="000E11CF"/>
    <w:rsid w:val="000E2192"/>
    <w:rsid w:val="000E2223"/>
    <w:rsid w:val="000E2670"/>
    <w:rsid w:val="000E3A4E"/>
    <w:rsid w:val="000E3B07"/>
    <w:rsid w:val="000E3B9F"/>
    <w:rsid w:val="000E4371"/>
    <w:rsid w:val="000E4FED"/>
    <w:rsid w:val="000E5125"/>
    <w:rsid w:val="000E5479"/>
    <w:rsid w:val="000E5DDA"/>
    <w:rsid w:val="000E750E"/>
    <w:rsid w:val="000F0E76"/>
    <w:rsid w:val="000F10C8"/>
    <w:rsid w:val="000F2A99"/>
    <w:rsid w:val="000F3DB8"/>
    <w:rsid w:val="000F5FD5"/>
    <w:rsid w:val="000F6956"/>
    <w:rsid w:val="000F701D"/>
    <w:rsid w:val="000F71F0"/>
    <w:rsid w:val="000F7C76"/>
    <w:rsid w:val="000F7ED1"/>
    <w:rsid w:val="00100254"/>
    <w:rsid w:val="00102A31"/>
    <w:rsid w:val="00103B23"/>
    <w:rsid w:val="0010406E"/>
    <w:rsid w:val="001041DC"/>
    <w:rsid w:val="00104CE4"/>
    <w:rsid w:val="00104D49"/>
    <w:rsid w:val="00105193"/>
    <w:rsid w:val="00105204"/>
    <w:rsid w:val="001058CA"/>
    <w:rsid w:val="00105E17"/>
    <w:rsid w:val="001064E7"/>
    <w:rsid w:val="00106808"/>
    <w:rsid w:val="00106B6C"/>
    <w:rsid w:val="00107924"/>
    <w:rsid w:val="00110C8B"/>
    <w:rsid w:val="00111E28"/>
    <w:rsid w:val="001121CA"/>
    <w:rsid w:val="001128BC"/>
    <w:rsid w:val="00114A27"/>
    <w:rsid w:val="00115157"/>
    <w:rsid w:val="00115CDD"/>
    <w:rsid w:val="001168D0"/>
    <w:rsid w:val="0011717B"/>
    <w:rsid w:val="00117E8B"/>
    <w:rsid w:val="00120EA7"/>
    <w:rsid w:val="00121D51"/>
    <w:rsid w:val="00121E3E"/>
    <w:rsid w:val="00123444"/>
    <w:rsid w:val="00123783"/>
    <w:rsid w:val="00123945"/>
    <w:rsid w:val="0012483E"/>
    <w:rsid w:val="00125121"/>
    <w:rsid w:val="001263AE"/>
    <w:rsid w:val="001264F6"/>
    <w:rsid w:val="00126708"/>
    <w:rsid w:val="00126D42"/>
    <w:rsid w:val="00126F99"/>
    <w:rsid w:val="0013037F"/>
    <w:rsid w:val="00131010"/>
    <w:rsid w:val="0013119F"/>
    <w:rsid w:val="00131CC7"/>
    <w:rsid w:val="0013250F"/>
    <w:rsid w:val="00132569"/>
    <w:rsid w:val="0013382D"/>
    <w:rsid w:val="0013416F"/>
    <w:rsid w:val="0013457D"/>
    <w:rsid w:val="00134B63"/>
    <w:rsid w:val="00134FDA"/>
    <w:rsid w:val="00136A0B"/>
    <w:rsid w:val="00137567"/>
    <w:rsid w:val="00137750"/>
    <w:rsid w:val="00137F51"/>
    <w:rsid w:val="001403C5"/>
    <w:rsid w:val="00140401"/>
    <w:rsid w:val="0014067B"/>
    <w:rsid w:val="00140845"/>
    <w:rsid w:val="00140D87"/>
    <w:rsid w:val="00140F26"/>
    <w:rsid w:val="00141183"/>
    <w:rsid w:val="001417BF"/>
    <w:rsid w:val="00141F8F"/>
    <w:rsid w:val="00142774"/>
    <w:rsid w:val="00142A8D"/>
    <w:rsid w:val="00142D4D"/>
    <w:rsid w:val="0014337F"/>
    <w:rsid w:val="00144437"/>
    <w:rsid w:val="00144502"/>
    <w:rsid w:val="00144718"/>
    <w:rsid w:val="00144CC4"/>
    <w:rsid w:val="001450B9"/>
    <w:rsid w:val="001456EF"/>
    <w:rsid w:val="001468C0"/>
    <w:rsid w:val="001477A8"/>
    <w:rsid w:val="00147F31"/>
    <w:rsid w:val="00150312"/>
    <w:rsid w:val="001514E7"/>
    <w:rsid w:val="001522BD"/>
    <w:rsid w:val="00153AE3"/>
    <w:rsid w:val="001548B4"/>
    <w:rsid w:val="00155525"/>
    <w:rsid w:val="00155A04"/>
    <w:rsid w:val="00156026"/>
    <w:rsid w:val="00156525"/>
    <w:rsid w:val="00156686"/>
    <w:rsid w:val="00156F2A"/>
    <w:rsid w:val="001605A6"/>
    <w:rsid w:val="0016197E"/>
    <w:rsid w:val="00162FF0"/>
    <w:rsid w:val="00164540"/>
    <w:rsid w:val="00165761"/>
    <w:rsid w:val="00166643"/>
    <w:rsid w:val="00166F77"/>
    <w:rsid w:val="0017016F"/>
    <w:rsid w:val="00171864"/>
    <w:rsid w:val="00171A7C"/>
    <w:rsid w:val="0017287D"/>
    <w:rsid w:val="00172A27"/>
    <w:rsid w:val="00172B15"/>
    <w:rsid w:val="00173B60"/>
    <w:rsid w:val="001742F9"/>
    <w:rsid w:val="00174984"/>
    <w:rsid w:val="001751B5"/>
    <w:rsid w:val="00176107"/>
    <w:rsid w:val="001775C4"/>
    <w:rsid w:val="00180604"/>
    <w:rsid w:val="00180861"/>
    <w:rsid w:val="00180AE3"/>
    <w:rsid w:val="00180DB0"/>
    <w:rsid w:val="00180DDB"/>
    <w:rsid w:val="00180F96"/>
    <w:rsid w:val="00181620"/>
    <w:rsid w:val="00181CEB"/>
    <w:rsid w:val="00182E19"/>
    <w:rsid w:val="00182E86"/>
    <w:rsid w:val="00182EAA"/>
    <w:rsid w:val="00183C1F"/>
    <w:rsid w:val="00185FC9"/>
    <w:rsid w:val="0018679B"/>
    <w:rsid w:val="00186E60"/>
    <w:rsid w:val="00187643"/>
    <w:rsid w:val="00191D14"/>
    <w:rsid w:val="00192754"/>
    <w:rsid w:val="00192A87"/>
    <w:rsid w:val="00192A90"/>
    <w:rsid w:val="001931C4"/>
    <w:rsid w:val="0019354D"/>
    <w:rsid w:val="00194681"/>
    <w:rsid w:val="0019479C"/>
    <w:rsid w:val="00194871"/>
    <w:rsid w:val="00194AF3"/>
    <w:rsid w:val="00195BED"/>
    <w:rsid w:val="00195D8C"/>
    <w:rsid w:val="00196432"/>
    <w:rsid w:val="0019672A"/>
    <w:rsid w:val="00197632"/>
    <w:rsid w:val="0019770B"/>
    <w:rsid w:val="001977DD"/>
    <w:rsid w:val="001A0006"/>
    <w:rsid w:val="001A0133"/>
    <w:rsid w:val="001A0A8E"/>
    <w:rsid w:val="001A125D"/>
    <w:rsid w:val="001A12FA"/>
    <w:rsid w:val="001A2385"/>
    <w:rsid w:val="001A2700"/>
    <w:rsid w:val="001A2825"/>
    <w:rsid w:val="001A2962"/>
    <w:rsid w:val="001A296B"/>
    <w:rsid w:val="001A2AFF"/>
    <w:rsid w:val="001A42CD"/>
    <w:rsid w:val="001A4885"/>
    <w:rsid w:val="001A55EC"/>
    <w:rsid w:val="001A58F7"/>
    <w:rsid w:val="001A5E9C"/>
    <w:rsid w:val="001A603F"/>
    <w:rsid w:val="001A6589"/>
    <w:rsid w:val="001A7735"/>
    <w:rsid w:val="001B091A"/>
    <w:rsid w:val="001B10CF"/>
    <w:rsid w:val="001B14A4"/>
    <w:rsid w:val="001B1509"/>
    <w:rsid w:val="001B2194"/>
    <w:rsid w:val="001B25B3"/>
    <w:rsid w:val="001B2C7D"/>
    <w:rsid w:val="001B32C9"/>
    <w:rsid w:val="001B3878"/>
    <w:rsid w:val="001B3D09"/>
    <w:rsid w:val="001B3DBB"/>
    <w:rsid w:val="001B4323"/>
    <w:rsid w:val="001B438D"/>
    <w:rsid w:val="001B50C7"/>
    <w:rsid w:val="001B582B"/>
    <w:rsid w:val="001B6D2E"/>
    <w:rsid w:val="001B7C79"/>
    <w:rsid w:val="001C0438"/>
    <w:rsid w:val="001C0F18"/>
    <w:rsid w:val="001C1134"/>
    <w:rsid w:val="001C11B7"/>
    <w:rsid w:val="001C14B3"/>
    <w:rsid w:val="001C1FD6"/>
    <w:rsid w:val="001C275D"/>
    <w:rsid w:val="001C35B1"/>
    <w:rsid w:val="001C380D"/>
    <w:rsid w:val="001C3B75"/>
    <w:rsid w:val="001C57B8"/>
    <w:rsid w:val="001C59EF"/>
    <w:rsid w:val="001C65AA"/>
    <w:rsid w:val="001C6771"/>
    <w:rsid w:val="001C6ACB"/>
    <w:rsid w:val="001C6B9C"/>
    <w:rsid w:val="001C6B9E"/>
    <w:rsid w:val="001C74A1"/>
    <w:rsid w:val="001C79D7"/>
    <w:rsid w:val="001C7C9F"/>
    <w:rsid w:val="001D0610"/>
    <w:rsid w:val="001D20E9"/>
    <w:rsid w:val="001D237E"/>
    <w:rsid w:val="001D2AE9"/>
    <w:rsid w:val="001D3738"/>
    <w:rsid w:val="001D3AA5"/>
    <w:rsid w:val="001D480F"/>
    <w:rsid w:val="001D485F"/>
    <w:rsid w:val="001D4F01"/>
    <w:rsid w:val="001D5287"/>
    <w:rsid w:val="001D5C5F"/>
    <w:rsid w:val="001D70B9"/>
    <w:rsid w:val="001D7CA8"/>
    <w:rsid w:val="001D7DE5"/>
    <w:rsid w:val="001D7F37"/>
    <w:rsid w:val="001E0629"/>
    <w:rsid w:val="001E0F46"/>
    <w:rsid w:val="001E2313"/>
    <w:rsid w:val="001E3206"/>
    <w:rsid w:val="001E6048"/>
    <w:rsid w:val="001E64B2"/>
    <w:rsid w:val="001E6D64"/>
    <w:rsid w:val="001E70C5"/>
    <w:rsid w:val="001E7E04"/>
    <w:rsid w:val="001F010C"/>
    <w:rsid w:val="001F04BE"/>
    <w:rsid w:val="001F052A"/>
    <w:rsid w:val="001F0FA3"/>
    <w:rsid w:val="001F204C"/>
    <w:rsid w:val="001F21D9"/>
    <w:rsid w:val="001F2552"/>
    <w:rsid w:val="001F474A"/>
    <w:rsid w:val="001F6220"/>
    <w:rsid w:val="001F6670"/>
    <w:rsid w:val="001F69D5"/>
    <w:rsid w:val="001F6A5F"/>
    <w:rsid w:val="001F6A9B"/>
    <w:rsid w:val="001F6D97"/>
    <w:rsid w:val="001F7462"/>
    <w:rsid w:val="001F7F37"/>
    <w:rsid w:val="002002FF"/>
    <w:rsid w:val="0020114A"/>
    <w:rsid w:val="0020135D"/>
    <w:rsid w:val="00201541"/>
    <w:rsid w:val="0020185E"/>
    <w:rsid w:val="00201D5A"/>
    <w:rsid w:val="002020E8"/>
    <w:rsid w:val="002029B3"/>
    <w:rsid w:val="00202DAD"/>
    <w:rsid w:val="00203596"/>
    <w:rsid w:val="00203A4D"/>
    <w:rsid w:val="00204194"/>
    <w:rsid w:val="0020420A"/>
    <w:rsid w:val="0020455A"/>
    <w:rsid w:val="0020468F"/>
    <w:rsid w:val="00205A17"/>
    <w:rsid w:val="00205C15"/>
    <w:rsid w:val="00205F31"/>
    <w:rsid w:val="002060DA"/>
    <w:rsid w:val="00206B92"/>
    <w:rsid w:val="00207DA9"/>
    <w:rsid w:val="00210A14"/>
    <w:rsid w:val="002110D4"/>
    <w:rsid w:val="002116D7"/>
    <w:rsid w:val="00211BC9"/>
    <w:rsid w:val="00212789"/>
    <w:rsid w:val="00212B3B"/>
    <w:rsid w:val="002136AC"/>
    <w:rsid w:val="002137B1"/>
    <w:rsid w:val="0021383B"/>
    <w:rsid w:val="0021453E"/>
    <w:rsid w:val="002148E6"/>
    <w:rsid w:val="00215541"/>
    <w:rsid w:val="0021563D"/>
    <w:rsid w:val="00215A75"/>
    <w:rsid w:val="0021752C"/>
    <w:rsid w:val="00217C40"/>
    <w:rsid w:val="00217C83"/>
    <w:rsid w:val="00220002"/>
    <w:rsid w:val="002202FE"/>
    <w:rsid w:val="00220EC7"/>
    <w:rsid w:val="0022348C"/>
    <w:rsid w:val="00223B75"/>
    <w:rsid w:val="00223D6B"/>
    <w:rsid w:val="00224523"/>
    <w:rsid w:val="00225326"/>
    <w:rsid w:val="0022636A"/>
    <w:rsid w:val="002264CF"/>
    <w:rsid w:val="002266F0"/>
    <w:rsid w:val="00226FEA"/>
    <w:rsid w:val="0022719A"/>
    <w:rsid w:val="00227543"/>
    <w:rsid w:val="00227D8B"/>
    <w:rsid w:val="00230201"/>
    <w:rsid w:val="002305C2"/>
    <w:rsid w:val="00230893"/>
    <w:rsid w:val="0023173B"/>
    <w:rsid w:val="00231BC8"/>
    <w:rsid w:val="00231BD5"/>
    <w:rsid w:val="002321F5"/>
    <w:rsid w:val="00232B0F"/>
    <w:rsid w:val="00232D89"/>
    <w:rsid w:val="0023310B"/>
    <w:rsid w:val="00235EFB"/>
    <w:rsid w:val="002369B6"/>
    <w:rsid w:val="00237073"/>
    <w:rsid w:val="00240951"/>
    <w:rsid w:val="0024103E"/>
    <w:rsid w:val="00242079"/>
    <w:rsid w:val="002428D3"/>
    <w:rsid w:val="00243088"/>
    <w:rsid w:val="002432C3"/>
    <w:rsid w:val="002444FC"/>
    <w:rsid w:val="002446A7"/>
    <w:rsid w:val="00244917"/>
    <w:rsid w:val="00245191"/>
    <w:rsid w:val="00246836"/>
    <w:rsid w:val="00246A5E"/>
    <w:rsid w:val="0024736A"/>
    <w:rsid w:val="00247A82"/>
    <w:rsid w:val="00247D56"/>
    <w:rsid w:val="00247DCD"/>
    <w:rsid w:val="00250099"/>
    <w:rsid w:val="00250558"/>
    <w:rsid w:val="00250EA6"/>
    <w:rsid w:val="0025280C"/>
    <w:rsid w:val="00253BC6"/>
    <w:rsid w:val="00253C14"/>
    <w:rsid w:val="002545AD"/>
    <w:rsid w:val="00254697"/>
    <w:rsid w:val="0025494A"/>
    <w:rsid w:val="002562B4"/>
    <w:rsid w:val="002566F4"/>
    <w:rsid w:val="0025696A"/>
    <w:rsid w:val="0025718C"/>
    <w:rsid w:val="00257BF7"/>
    <w:rsid w:val="00257FA2"/>
    <w:rsid w:val="002604D9"/>
    <w:rsid w:val="00260A5C"/>
    <w:rsid w:val="00260D5D"/>
    <w:rsid w:val="00260DDD"/>
    <w:rsid w:val="00260FF9"/>
    <w:rsid w:val="002625BD"/>
    <w:rsid w:val="002626DE"/>
    <w:rsid w:val="002627A4"/>
    <w:rsid w:val="00262CA4"/>
    <w:rsid w:val="00263152"/>
    <w:rsid w:val="0026317E"/>
    <w:rsid w:val="00263192"/>
    <w:rsid w:val="00263A3E"/>
    <w:rsid w:val="00263B0D"/>
    <w:rsid w:val="00265FAF"/>
    <w:rsid w:val="002669A9"/>
    <w:rsid w:val="00266A91"/>
    <w:rsid w:val="0026704A"/>
    <w:rsid w:val="00267F82"/>
    <w:rsid w:val="002706B0"/>
    <w:rsid w:val="0027103D"/>
    <w:rsid w:val="00271C34"/>
    <w:rsid w:val="00271DED"/>
    <w:rsid w:val="00272189"/>
    <w:rsid w:val="0027245B"/>
    <w:rsid w:val="00272812"/>
    <w:rsid w:val="00272DC2"/>
    <w:rsid w:val="0027370B"/>
    <w:rsid w:val="00273B73"/>
    <w:rsid w:val="00273BF6"/>
    <w:rsid w:val="00273D05"/>
    <w:rsid w:val="00274136"/>
    <w:rsid w:val="00274322"/>
    <w:rsid w:val="00274BD1"/>
    <w:rsid w:val="00274C27"/>
    <w:rsid w:val="00274CEB"/>
    <w:rsid w:val="00275401"/>
    <w:rsid w:val="00275558"/>
    <w:rsid w:val="00275753"/>
    <w:rsid w:val="002758F6"/>
    <w:rsid w:val="00275D3F"/>
    <w:rsid w:val="002762DA"/>
    <w:rsid w:val="002762E9"/>
    <w:rsid w:val="00276776"/>
    <w:rsid w:val="00276CA2"/>
    <w:rsid w:val="00277688"/>
    <w:rsid w:val="00277927"/>
    <w:rsid w:val="00277FBE"/>
    <w:rsid w:val="00282E90"/>
    <w:rsid w:val="002849A4"/>
    <w:rsid w:val="0028551F"/>
    <w:rsid w:val="002859B5"/>
    <w:rsid w:val="00285A70"/>
    <w:rsid w:val="00285BA3"/>
    <w:rsid w:val="0028627B"/>
    <w:rsid w:val="002869C3"/>
    <w:rsid w:val="0029088A"/>
    <w:rsid w:val="00290E5F"/>
    <w:rsid w:val="00292D8C"/>
    <w:rsid w:val="00293D07"/>
    <w:rsid w:val="0029491D"/>
    <w:rsid w:val="0029492B"/>
    <w:rsid w:val="00294EAA"/>
    <w:rsid w:val="0029585F"/>
    <w:rsid w:val="00296345"/>
    <w:rsid w:val="00296702"/>
    <w:rsid w:val="00296E47"/>
    <w:rsid w:val="00297FCD"/>
    <w:rsid w:val="002A05AD"/>
    <w:rsid w:val="002A0863"/>
    <w:rsid w:val="002A0967"/>
    <w:rsid w:val="002A16B5"/>
    <w:rsid w:val="002A2084"/>
    <w:rsid w:val="002A20C0"/>
    <w:rsid w:val="002A29FC"/>
    <w:rsid w:val="002A3A23"/>
    <w:rsid w:val="002A4EDE"/>
    <w:rsid w:val="002A53EF"/>
    <w:rsid w:val="002A5DBE"/>
    <w:rsid w:val="002A6AD4"/>
    <w:rsid w:val="002B0343"/>
    <w:rsid w:val="002B0CF9"/>
    <w:rsid w:val="002B0E5D"/>
    <w:rsid w:val="002B115C"/>
    <w:rsid w:val="002B138D"/>
    <w:rsid w:val="002B1714"/>
    <w:rsid w:val="002B333C"/>
    <w:rsid w:val="002B373D"/>
    <w:rsid w:val="002B3AC2"/>
    <w:rsid w:val="002B3B73"/>
    <w:rsid w:val="002B4BB1"/>
    <w:rsid w:val="002B526E"/>
    <w:rsid w:val="002B6B58"/>
    <w:rsid w:val="002B772C"/>
    <w:rsid w:val="002C024F"/>
    <w:rsid w:val="002C08D7"/>
    <w:rsid w:val="002C0AC9"/>
    <w:rsid w:val="002C2BDB"/>
    <w:rsid w:val="002C2C10"/>
    <w:rsid w:val="002C38E8"/>
    <w:rsid w:val="002C3B02"/>
    <w:rsid w:val="002C4830"/>
    <w:rsid w:val="002C4D6B"/>
    <w:rsid w:val="002C4FAB"/>
    <w:rsid w:val="002C5427"/>
    <w:rsid w:val="002C5724"/>
    <w:rsid w:val="002C5B49"/>
    <w:rsid w:val="002C6A2A"/>
    <w:rsid w:val="002C6D12"/>
    <w:rsid w:val="002C7283"/>
    <w:rsid w:val="002D0647"/>
    <w:rsid w:val="002D17AF"/>
    <w:rsid w:val="002D1B97"/>
    <w:rsid w:val="002D1BDB"/>
    <w:rsid w:val="002D267A"/>
    <w:rsid w:val="002D3408"/>
    <w:rsid w:val="002D36E1"/>
    <w:rsid w:val="002D3FC4"/>
    <w:rsid w:val="002D4D32"/>
    <w:rsid w:val="002D4EF1"/>
    <w:rsid w:val="002D4F29"/>
    <w:rsid w:val="002D5258"/>
    <w:rsid w:val="002D5F76"/>
    <w:rsid w:val="002D6765"/>
    <w:rsid w:val="002D72F1"/>
    <w:rsid w:val="002E0C5F"/>
    <w:rsid w:val="002E0FF6"/>
    <w:rsid w:val="002E1F6F"/>
    <w:rsid w:val="002E2154"/>
    <w:rsid w:val="002E3752"/>
    <w:rsid w:val="002E3848"/>
    <w:rsid w:val="002E3BE4"/>
    <w:rsid w:val="002E474E"/>
    <w:rsid w:val="002E4BA0"/>
    <w:rsid w:val="002E4E0D"/>
    <w:rsid w:val="002E533C"/>
    <w:rsid w:val="002E5DB7"/>
    <w:rsid w:val="002E6C18"/>
    <w:rsid w:val="002E6EBE"/>
    <w:rsid w:val="002E6F18"/>
    <w:rsid w:val="002E6F89"/>
    <w:rsid w:val="002E7C21"/>
    <w:rsid w:val="002E7DB1"/>
    <w:rsid w:val="002F0193"/>
    <w:rsid w:val="002F04BC"/>
    <w:rsid w:val="002F0ABD"/>
    <w:rsid w:val="002F10CA"/>
    <w:rsid w:val="002F1F31"/>
    <w:rsid w:val="002F2218"/>
    <w:rsid w:val="002F27D0"/>
    <w:rsid w:val="002F3C7B"/>
    <w:rsid w:val="002F4C7A"/>
    <w:rsid w:val="002F5AFE"/>
    <w:rsid w:val="002F65D6"/>
    <w:rsid w:val="002F797C"/>
    <w:rsid w:val="003022ED"/>
    <w:rsid w:val="00302629"/>
    <w:rsid w:val="00302FC9"/>
    <w:rsid w:val="003041D0"/>
    <w:rsid w:val="00304F36"/>
    <w:rsid w:val="0030533F"/>
    <w:rsid w:val="00306088"/>
    <w:rsid w:val="00310164"/>
    <w:rsid w:val="00311554"/>
    <w:rsid w:val="0031175A"/>
    <w:rsid w:val="003117E4"/>
    <w:rsid w:val="003119F5"/>
    <w:rsid w:val="003127D3"/>
    <w:rsid w:val="00312D08"/>
    <w:rsid w:val="00312E19"/>
    <w:rsid w:val="0031304E"/>
    <w:rsid w:val="00314DB0"/>
    <w:rsid w:val="00314E4D"/>
    <w:rsid w:val="00314FE8"/>
    <w:rsid w:val="003157E0"/>
    <w:rsid w:val="00315F77"/>
    <w:rsid w:val="00316D6C"/>
    <w:rsid w:val="003170C6"/>
    <w:rsid w:val="003174EA"/>
    <w:rsid w:val="0031773E"/>
    <w:rsid w:val="00317D7D"/>
    <w:rsid w:val="00317FC7"/>
    <w:rsid w:val="00321957"/>
    <w:rsid w:val="00321DCB"/>
    <w:rsid w:val="003225FA"/>
    <w:rsid w:val="003247D4"/>
    <w:rsid w:val="00325C1A"/>
    <w:rsid w:val="00325E68"/>
    <w:rsid w:val="003264B4"/>
    <w:rsid w:val="003267BE"/>
    <w:rsid w:val="00326BC5"/>
    <w:rsid w:val="0032723F"/>
    <w:rsid w:val="00330743"/>
    <w:rsid w:val="003312FA"/>
    <w:rsid w:val="003314F5"/>
    <w:rsid w:val="00331B95"/>
    <w:rsid w:val="00332006"/>
    <w:rsid w:val="00332648"/>
    <w:rsid w:val="00333117"/>
    <w:rsid w:val="00334180"/>
    <w:rsid w:val="003346C1"/>
    <w:rsid w:val="00334E52"/>
    <w:rsid w:val="0033503B"/>
    <w:rsid w:val="00336149"/>
    <w:rsid w:val="00336910"/>
    <w:rsid w:val="003400D2"/>
    <w:rsid w:val="00340326"/>
    <w:rsid w:val="00340B87"/>
    <w:rsid w:val="003423DB"/>
    <w:rsid w:val="00342780"/>
    <w:rsid w:val="003435E3"/>
    <w:rsid w:val="0034409A"/>
    <w:rsid w:val="00344852"/>
    <w:rsid w:val="0034551F"/>
    <w:rsid w:val="003458BD"/>
    <w:rsid w:val="00345910"/>
    <w:rsid w:val="0034772F"/>
    <w:rsid w:val="00347F86"/>
    <w:rsid w:val="00350FD6"/>
    <w:rsid w:val="00351550"/>
    <w:rsid w:val="003518F9"/>
    <w:rsid w:val="0035219C"/>
    <w:rsid w:val="00353218"/>
    <w:rsid w:val="00355C85"/>
    <w:rsid w:val="00355CA4"/>
    <w:rsid w:val="003571B9"/>
    <w:rsid w:val="00357240"/>
    <w:rsid w:val="0035776F"/>
    <w:rsid w:val="00357C96"/>
    <w:rsid w:val="00360A58"/>
    <w:rsid w:val="00361014"/>
    <w:rsid w:val="00361312"/>
    <w:rsid w:val="00362077"/>
    <w:rsid w:val="00362365"/>
    <w:rsid w:val="00362709"/>
    <w:rsid w:val="00362759"/>
    <w:rsid w:val="00363304"/>
    <w:rsid w:val="00364FFD"/>
    <w:rsid w:val="00365A61"/>
    <w:rsid w:val="00365FA1"/>
    <w:rsid w:val="00366FCB"/>
    <w:rsid w:val="00367656"/>
    <w:rsid w:val="00367A02"/>
    <w:rsid w:val="00370364"/>
    <w:rsid w:val="0037055A"/>
    <w:rsid w:val="00371EE8"/>
    <w:rsid w:val="0037262D"/>
    <w:rsid w:val="003730D3"/>
    <w:rsid w:val="003738CC"/>
    <w:rsid w:val="00373ADC"/>
    <w:rsid w:val="00373BBE"/>
    <w:rsid w:val="00375F9D"/>
    <w:rsid w:val="0037645D"/>
    <w:rsid w:val="0037683B"/>
    <w:rsid w:val="003769B7"/>
    <w:rsid w:val="00376A65"/>
    <w:rsid w:val="003770B6"/>
    <w:rsid w:val="00377AC1"/>
    <w:rsid w:val="00377C76"/>
    <w:rsid w:val="003803C8"/>
    <w:rsid w:val="00380B86"/>
    <w:rsid w:val="00381BEE"/>
    <w:rsid w:val="00382517"/>
    <w:rsid w:val="00382990"/>
    <w:rsid w:val="003830D9"/>
    <w:rsid w:val="00383552"/>
    <w:rsid w:val="0038525C"/>
    <w:rsid w:val="00386589"/>
    <w:rsid w:val="00386F27"/>
    <w:rsid w:val="00387A76"/>
    <w:rsid w:val="00387F91"/>
    <w:rsid w:val="00390BC3"/>
    <w:rsid w:val="00391606"/>
    <w:rsid w:val="00391716"/>
    <w:rsid w:val="003917FF"/>
    <w:rsid w:val="003918AE"/>
    <w:rsid w:val="0039287D"/>
    <w:rsid w:val="00392890"/>
    <w:rsid w:val="003932C4"/>
    <w:rsid w:val="00393CEB"/>
    <w:rsid w:val="00393EE7"/>
    <w:rsid w:val="003940AE"/>
    <w:rsid w:val="00394EEB"/>
    <w:rsid w:val="00394F55"/>
    <w:rsid w:val="00395637"/>
    <w:rsid w:val="0039589D"/>
    <w:rsid w:val="0039597A"/>
    <w:rsid w:val="00396524"/>
    <w:rsid w:val="003968AB"/>
    <w:rsid w:val="00396ED6"/>
    <w:rsid w:val="00397888"/>
    <w:rsid w:val="00397BA0"/>
    <w:rsid w:val="003A037F"/>
    <w:rsid w:val="003A07AD"/>
    <w:rsid w:val="003A092C"/>
    <w:rsid w:val="003A1C45"/>
    <w:rsid w:val="003A22BC"/>
    <w:rsid w:val="003A2CC9"/>
    <w:rsid w:val="003A31CF"/>
    <w:rsid w:val="003A34AA"/>
    <w:rsid w:val="003A35AB"/>
    <w:rsid w:val="003A3BDE"/>
    <w:rsid w:val="003A3C19"/>
    <w:rsid w:val="003A40A2"/>
    <w:rsid w:val="003A496F"/>
    <w:rsid w:val="003A4A05"/>
    <w:rsid w:val="003A52A9"/>
    <w:rsid w:val="003A5605"/>
    <w:rsid w:val="003A57E0"/>
    <w:rsid w:val="003A5AA6"/>
    <w:rsid w:val="003A5D56"/>
    <w:rsid w:val="003A6D57"/>
    <w:rsid w:val="003B0466"/>
    <w:rsid w:val="003B0847"/>
    <w:rsid w:val="003B1025"/>
    <w:rsid w:val="003B1956"/>
    <w:rsid w:val="003B1C3F"/>
    <w:rsid w:val="003B2111"/>
    <w:rsid w:val="003B260F"/>
    <w:rsid w:val="003B4130"/>
    <w:rsid w:val="003B4558"/>
    <w:rsid w:val="003B57F3"/>
    <w:rsid w:val="003B5DFD"/>
    <w:rsid w:val="003B5E55"/>
    <w:rsid w:val="003B5E6B"/>
    <w:rsid w:val="003B6172"/>
    <w:rsid w:val="003B6614"/>
    <w:rsid w:val="003B6B1E"/>
    <w:rsid w:val="003B6DB5"/>
    <w:rsid w:val="003B7AC9"/>
    <w:rsid w:val="003B7CA3"/>
    <w:rsid w:val="003C04E5"/>
    <w:rsid w:val="003C06A5"/>
    <w:rsid w:val="003C0EB8"/>
    <w:rsid w:val="003C194E"/>
    <w:rsid w:val="003C1C3B"/>
    <w:rsid w:val="003C1C51"/>
    <w:rsid w:val="003C2ECC"/>
    <w:rsid w:val="003C43D0"/>
    <w:rsid w:val="003C495B"/>
    <w:rsid w:val="003C5097"/>
    <w:rsid w:val="003C524F"/>
    <w:rsid w:val="003C5C0E"/>
    <w:rsid w:val="003C6B21"/>
    <w:rsid w:val="003C78F2"/>
    <w:rsid w:val="003D05D8"/>
    <w:rsid w:val="003D0EA7"/>
    <w:rsid w:val="003D14E9"/>
    <w:rsid w:val="003D2F39"/>
    <w:rsid w:val="003D34C4"/>
    <w:rsid w:val="003D44E8"/>
    <w:rsid w:val="003D47F6"/>
    <w:rsid w:val="003D5B04"/>
    <w:rsid w:val="003D6E3C"/>
    <w:rsid w:val="003D6E73"/>
    <w:rsid w:val="003D7D8D"/>
    <w:rsid w:val="003E070D"/>
    <w:rsid w:val="003E0DC4"/>
    <w:rsid w:val="003E2796"/>
    <w:rsid w:val="003E2A5C"/>
    <w:rsid w:val="003E2D98"/>
    <w:rsid w:val="003E304E"/>
    <w:rsid w:val="003E39DA"/>
    <w:rsid w:val="003E3A70"/>
    <w:rsid w:val="003E4161"/>
    <w:rsid w:val="003E4186"/>
    <w:rsid w:val="003E4FFE"/>
    <w:rsid w:val="003E5123"/>
    <w:rsid w:val="003E537E"/>
    <w:rsid w:val="003E544B"/>
    <w:rsid w:val="003E63B4"/>
    <w:rsid w:val="003E68C4"/>
    <w:rsid w:val="003F0DE5"/>
    <w:rsid w:val="003F10FD"/>
    <w:rsid w:val="003F3676"/>
    <w:rsid w:val="003F3788"/>
    <w:rsid w:val="003F380F"/>
    <w:rsid w:val="003F4885"/>
    <w:rsid w:val="003F4DBF"/>
    <w:rsid w:val="003F5F2A"/>
    <w:rsid w:val="003F665A"/>
    <w:rsid w:val="003F757E"/>
    <w:rsid w:val="00400128"/>
    <w:rsid w:val="00400748"/>
    <w:rsid w:val="004007FB"/>
    <w:rsid w:val="00400D2E"/>
    <w:rsid w:val="00401300"/>
    <w:rsid w:val="0040149D"/>
    <w:rsid w:val="00401818"/>
    <w:rsid w:val="004022F9"/>
    <w:rsid w:val="00402890"/>
    <w:rsid w:val="00404126"/>
    <w:rsid w:val="00404377"/>
    <w:rsid w:val="00404885"/>
    <w:rsid w:val="00404A8A"/>
    <w:rsid w:val="00406F80"/>
    <w:rsid w:val="00410B7C"/>
    <w:rsid w:val="004110A1"/>
    <w:rsid w:val="004111B2"/>
    <w:rsid w:val="004114F3"/>
    <w:rsid w:val="00411BDB"/>
    <w:rsid w:val="00411BDC"/>
    <w:rsid w:val="00412778"/>
    <w:rsid w:val="0041308F"/>
    <w:rsid w:val="00414036"/>
    <w:rsid w:val="004149EC"/>
    <w:rsid w:val="00414EBE"/>
    <w:rsid w:val="00415AB4"/>
    <w:rsid w:val="004175FE"/>
    <w:rsid w:val="00417745"/>
    <w:rsid w:val="0042003C"/>
    <w:rsid w:val="0042051E"/>
    <w:rsid w:val="00420762"/>
    <w:rsid w:val="00421075"/>
    <w:rsid w:val="00421532"/>
    <w:rsid w:val="00421FB1"/>
    <w:rsid w:val="0042352B"/>
    <w:rsid w:val="00423629"/>
    <w:rsid w:val="004239BB"/>
    <w:rsid w:val="004246F9"/>
    <w:rsid w:val="00425573"/>
    <w:rsid w:val="004258B0"/>
    <w:rsid w:val="00430953"/>
    <w:rsid w:val="00430B26"/>
    <w:rsid w:val="00430BCF"/>
    <w:rsid w:val="00430F6C"/>
    <w:rsid w:val="00431A25"/>
    <w:rsid w:val="00432520"/>
    <w:rsid w:val="00432A62"/>
    <w:rsid w:val="0043302F"/>
    <w:rsid w:val="00433243"/>
    <w:rsid w:val="00433429"/>
    <w:rsid w:val="00435E5F"/>
    <w:rsid w:val="0043774E"/>
    <w:rsid w:val="00437BB9"/>
    <w:rsid w:val="0044040B"/>
    <w:rsid w:val="00440F44"/>
    <w:rsid w:val="00441296"/>
    <w:rsid w:val="0044175E"/>
    <w:rsid w:val="004419FE"/>
    <w:rsid w:val="00441B0F"/>
    <w:rsid w:val="0044258E"/>
    <w:rsid w:val="00442EED"/>
    <w:rsid w:val="00443820"/>
    <w:rsid w:val="00443913"/>
    <w:rsid w:val="00443A5A"/>
    <w:rsid w:val="00443C82"/>
    <w:rsid w:val="00445090"/>
    <w:rsid w:val="0044529B"/>
    <w:rsid w:val="004456AE"/>
    <w:rsid w:val="00445A7C"/>
    <w:rsid w:val="0044696E"/>
    <w:rsid w:val="00446B96"/>
    <w:rsid w:val="00447B3B"/>
    <w:rsid w:val="00447D95"/>
    <w:rsid w:val="004519F2"/>
    <w:rsid w:val="00453AAB"/>
    <w:rsid w:val="00455100"/>
    <w:rsid w:val="00456064"/>
    <w:rsid w:val="00456714"/>
    <w:rsid w:val="004569E2"/>
    <w:rsid w:val="00457686"/>
    <w:rsid w:val="004601E6"/>
    <w:rsid w:val="00460314"/>
    <w:rsid w:val="00460B80"/>
    <w:rsid w:val="0046147D"/>
    <w:rsid w:val="0046162F"/>
    <w:rsid w:val="004619EF"/>
    <w:rsid w:val="00461BAE"/>
    <w:rsid w:val="004620A2"/>
    <w:rsid w:val="004623E3"/>
    <w:rsid w:val="00462A63"/>
    <w:rsid w:val="00462E35"/>
    <w:rsid w:val="00462FB3"/>
    <w:rsid w:val="00464B70"/>
    <w:rsid w:val="00466C1A"/>
    <w:rsid w:val="00466CCE"/>
    <w:rsid w:val="00467541"/>
    <w:rsid w:val="004679DD"/>
    <w:rsid w:val="00467FD9"/>
    <w:rsid w:val="00470C0C"/>
    <w:rsid w:val="00470E4B"/>
    <w:rsid w:val="004714F7"/>
    <w:rsid w:val="00472007"/>
    <w:rsid w:val="00472014"/>
    <w:rsid w:val="00472602"/>
    <w:rsid w:val="00472878"/>
    <w:rsid w:val="00472E25"/>
    <w:rsid w:val="004748A5"/>
    <w:rsid w:val="004752FA"/>
    <w:rsid w:val="00476367"/>
    <w:rsid w:val="00476816"/>
    <w:rsid w:val="00476E71"/>
    <w:rsid w:val="0047725A"/>
    <w:rsid w:val="00477DB7"/>
    <w:rsid w:val="0048010A"/>
    <w:rsid w:val="00480ECC"/>
    <w:rsid w:val="0048104B"/>
    <w:rsid w:val="00481241"/>
    <w:rsid w:val="00482432"/>
    <w:rsid w:val="0048249E"/>
    <w:rsid w:val="00482BD0"/>
    <w:rsid w:val="004836DD"/>
    <w:rsid w:val="00484373"/>
    <w:rsid w:val="00487999"/>
    <w:rsid w:val="00490B28"/>
    <w:rsid w:val="00491806"/>
    <w:rsid w:val="00491B01"/>
    <w:rsid w:val="00491EC3"/>
    <w:rsid w:val="004920CA"/>
    <w:rsid w:val="0049259A"/>
    <w:rsid w:val="00492B35"/>
    <w:rsid w:val="00492C9A"/>
    <w:rsid w:val="00493065"/>
    <w:rsid w:val="004935EE"/>
    <w:rsid w:val="0049439F"/>
    <w:rsid w:val="004945D3"/>
    <w:rsid w:val="00495937"/>
    <w:rsid w:val="00495F41"/>
    <w:rsid w:val="004961BB"/>
    <w:rsid w:val="004969D7"/>
    <w:rsid w:val="00496BBF"/>
    <w:rsid w:val="00496CF5"/>
    <w:rsid w:val="00497257"/>
    <w:rsid w:val="00497A03"/>
    <w:rsid w:val="00497BB8"/>
    <w:rsid w:val="004A0297"/>
    <w:rsid w:val="004A0787"/>
    <w:rsid w:val="004A15EB"/>
    <w:rsid w:val="004A1811"/>
    <w:rsid w:val="004A1E92"/>
    <w:rsid w:val="004A296A"/>
    <w:rsid w:val="004A3B68"/>
    <w:rsid w:val="004A47E2"/>
    <w:rsid w:val="004A4D60"/>
    <w:rsid w:val="004A4E69"/>
    <w:rsid w:val="004A64BD"/>
    <w:rsid w:val="004A6734"/>
    <w:rsid w:val="004A6BD4"/>
    <w:rsid w:val="004A76C3"/>
    <w:rsid w:val="004B0561"/>
    <w:rsid w:val="004B07AC"/>
    <w:rsid w:val="004B07BD"/>
    <w:rsid w:val="004B196F"/>
    <w:rsid w:val="004B2012"/>
    <w:rsid w:val="004B2989"/>
    <w:rsid w:val="004B2A38"/>
    <w:rsid w:val="004B3C32"/>
    <w:rsid w:val="004B3CC0"/>
    <w:rsid w:val="004B5E35"/>
    <w:rsid w:val="004B60D0"/>
    <w:rsid w:val="004B664A"/>
    <w:rsid w:val="004B6E5D"/>
    <w:rsid w:val="004C0582"/>
    <w:rsid w:val="004C1845"/>
    <w:rsid w:val="004C19D0"/>
    <w:rsid w:val="004C1D26"/>
    <w:rsid w:val="004C1DC0"/>
    <w:rsid w:val="004C2029"/>
    <w:rsid w:val="004C22C4"/>
    <w:rsid w:val="004C2616"/>
    <w:rsid w:val="004C290B"/>
    <w:rsid w:val="004C33B7"/>
    <w:rsid w:val="004C33FB"/>
    <w:rsid w:val="004C4A56"/>
    <w:rsid w:val="004C595E"/>
    <w:rsid w:val="004C7271"/>
    <w:rsid w:val="004C74D7"/>
    <w:rsid w:val="004D023C"/>
    <w:rsid w:val="004D0395"/>
    <w:rsid w:val="004D0BE6"/>
    <w:rsid w:val="004D0C60"/>
    <w:rsid w:val="004D1472"/>
    <w:rsid w:val="004D1555"/>
    <w:rsid w:val="004D18B9"/>
    <w:rsid w:val="004D1B99"/>
    <w:rsid w:val="004D21B4"/>
    <w:rsid w:val="004D2645"/>
    <w:rsid w:val="004D2740"/>
    <w:rsid w:val="004D30D1"/>
    <w:rsid w:val="004D42F5"/>
    <w:rsid w:val="004D485F"/>
    <w:rsid w:val="004D4AA7"/>
    <w:rsid w:val="004D547D"/>
    <w:rsid w:val="004D5579"/>
    <w:rsid w:val="004D586A"/>
    <w:rsid w:val="004D5C0D"/>
    <w:rsid w:val="004D5F1B"/>
    <w:rsid w:val="004D69BC"/>
    <w:rsid w:val="004D6C4F"/>
    <w:rsid w:val="004D7536"/>
    <w:rsid w:val="004D759A"/>
    <w:rsid w:val="004D7A50"/>
    <w:rsid w:val="004E07F4"/>
    <w:rsid w:val="004E20CA"/>
    <w:rsid w:val="004E531E"/>
    <w:rsid w:val="004E77C3"/>
    <w:rsid w:val="004F06A2"/>
    <w:rsid w:val="004F0FFE"/>
    <w:rsid w:val="004F156F"/>
    <w:rsid w:val="004F18DC"/>
    <w:rsid w:val="004F1CBA"/>
    <w:rsid w:val="004F325F"/>
    <w:rsid w:val="004F3B68"/>
    <w:rsid w:val="004F3BBC"/>
    <w:rsid w:val="004F46D6"/>
    <w:rsid w:val="004F4AE0"/>
    <w:rsid w:val="004F5173"/>
    <w:rsid w:val="004F5DC6"/>
    <w:rsid w:val="004F5DFA"/>
    <w:rsid w:val="004F5E48"/>
    <w:rsid w:val="004F6405"/>
    <w:rsid w:val="004F6C79"/>
    <w:rsid w:val="004F74E3"/>
    <w:rsid w:val="004F7A3C"/>
    <w:rsid w:val="00500549"/>
    <w:rsid w:val="00500E67"/>
    <w:rsid w:val="00501467"/>
    <w:rsid w:val="00501A41"/>
    <w:rsid w:val="00501E36"/>
    <w:rsid w:val="00503634"/>
    <w:rsid w:val="00503AAD"/>
    <w:rsid w:val="00504139"/>
    <w:rsid w:val="00504809"/>
    <w:rsid w:val="005061A2"/>
    <w:rsid w:val="00507382"/>
    <w:rsid w:val="005077C6"/>
    <w:rsid w:val="00507B6B"/>
    <w:rsid w:val="00507BC2"/>
    <w:rsid w:val="00510112"/>
    <w:rsid w:val="00510456"/>
    <w:rsid w:val="00510A3E"/>
    <w:rsid w:val="00512014"/>
    <w:rsid w:val="005124D1"/>
    <w:rsid w:val="00512B73"/>
    <w:rsid w:val="00514BD3"/>
    <w:rsid w:val="00514EA2"/>
    <w:rsid w:val="0051544A"/>
    <w:rsid w:val="00515DC2"/>
    <w:rsid w:val="005162B6"/>
    <w:rsid w:val="005166DE"/>
    <w:rsid w:val="00516BA5"/>
    <w:rsid w:val="00516E2A"/>
    <w:rsid w:val="00516F49"/>
    <w:rsid w:val="00517472"/>
    <w:rsid w:val="0051786A"/>
    <w:rsid w:val="0051789E"/>
    <w:rsid w:val="00520302"/>
    <w:rsid w:val="005209F7"/>
    <w:rsid w:val="00520AFF"/>
    <w:rsid w:val="00521219"/>
    <w:rsid w:val="0052146D"/>
    <w:rsid w:val="005217A5"/>
    <w:rsid w:val="0052182C"/>
    <w:rsid w:val="00521FCD"/>
    <w:rsid w:val="00522036"/>
    <w:rsid w:val="00522057"/>
    <w:rsid w:val="00522584"/>
    <w:rsid w:val="005231EA"/>
    <w:rsid w:val="005233A9"/>
    <w:rsid w:val="00523CCF"/>
    <w:rsid w:val="00524566"/>
    <w:rsid w:val="00524DE9"/>
    <w:rsid w:val="0052503F"/>
    <w:rsid w:val="0052585F"/>
    <w:rsid w:val="005262EB"/>
    <w:rsid w:val="00526678"/>
    <w:rsid w:val="00526EAA"/>
    <w:rsid w:val="00527151"/>
    <w:rsid w:val="005273A9"/>
    <w:rsid w:val="005303C0"/>
    <w:rsid w:val="00530D41"/>
    <w:rsid w:val="00530E55"/>
    <w:rsid w:val="00531B71"/>
    <w:rsid w:val="00532EF8"/>
    <w:rsid w:val="0053388D"/>
    <w:rsid w:val="005339B2"/>
    <w:rsid w:val="00534A7A"/>
    <w:rsid w:val="00534C3B"/>
    <w:rsid w:val="00535867"/>
    <w:rsid w:val="00535E2F"/>
    <w:rsid w:val="00535EE0"/>
    <w:rsid w:val="00535FA2"/>
    <w:rsid w:val="00536278"/>
    <w:rsid w:val="005365F8"/>
    <w:rsid w:val="00537771"/>
    <w:rsid w:val="005406FF"/>
    <w:rsid w:val="00541453"/>
    <w:rsid w:val="00542CFA"/>
    <w:rsid w:val="00543071"/>
    <w:rsid w:val="005438E7"/>
    <w:rsid w:val="00543941"/>
    <w:rsid w:val="0054420F"/>
    <w:rsid w:val="00544AF7"/>
    <w:rsid w:val="00544DF7"/>
    <w:rsid w:val="005465DD"/>
    <w:rsid w:val="00546662"/>
    <w:rsid w:val="00546B58"/>
    <w:rsid w:val="00547791"/>
    <w:rsid w:val="0055018A"/>
    <w:rsid w:val="00550848"/>
    <w:rsid w:val="00550BFC"/>
    <w:rsid w:val="00550FA5"/>
    <w:rsid w:val="005512A3"/>
    <w:rsid w:val="005523E9"/>
    <w:rsid w:val="00552D8B"/>
    <w:rsid w:val="005531BD"/>
    <w:rsid w:val="0055330A"/>
    <w:rsid w:val="00554852"/>
    <w:rsid w:val="00554E2F"/>
    <w:rsid w:val="00555121"/>
    <w:rsid w:val="00555811"/>
    <w:rsid w:val="00556D10"/>
    <w:rsid w:val="00557281"/>
    <w:rsid w:val="0055753D"/>
    <w:rsid w:val="005604D0"/>
    <w:rsid w:val="00560623"/>
    <w:rsid w:val="00560E2D"/>
    <w:rsid w:val="00561380"/>
    <w:rsid w:val="005625BC"/>
    <w:rsid w:val="00562A6C"/>
    <w:rsid w:val="00563BBF"/>
    <w:rsid w:val="00563E9E"/>
    <w:rsid w:val="00564941"/>
    <w:rsid w:val="00565080"/>
    <w:rsid w:val="00565FE9"/>
    <w:rsid w:val="00566677"/>
    <w:rsid w:val="00567B2B"/>
    <w:rsid w:val="00567F9E"/>
    <w:rsid w:val="00571F06"/>
    <w:rsid w:val="00571F51"/>
    <w:rsid w:val="005726E8"/>
    <w:rsid w:val="0057295D"/>
    <w:rsid w:val="00572ACE"/>
    <w:rsid w:val="00572EED"/>
    <w:rsid w:val="00573B8A"/>
    <w:rsid w:val="00574947"/>
    <w:rsid w:val="00574D05"/>
    <w:rsid w:val="00574DEF"/>
    <w:rsid w:val="00575A9B"/>
    <w:rsid w:val="00575CED"/>
    <w:rsid w:val="00575F91"/>
    <w:rsid w:val="00576317"/>
    <w:rsid w:val="0057644D"/>
    <w:rsid w:val="005773B5"/>
    <w:rsid w:val="005802FE"/>
    <w:rsid w:val="0058067C"/>
    <w:rsid w:val="00581104"/>
    <w:rsid w:val="0058110A"/>
    <w:rsid w:val="00581B98"/>
    <w:rsid w:val="00582396"/>
    <w:rsid w:val="005824C9"/>
    <w:rsid w:val="0058287B"/>
    <w:rsid w:val="00582EE7"/>
    <w:rsid w:val="00583016"/>
    <w:rsid w:val="005830F3"/>
    <w:rsid w:val="00583575"/>
    <w:rsid w:val="00583C38"/>
    <w:rsid w:val="00584341"/>
    <w:rsid w:val="00584C88"/>
    <w:rsid w:val="0058543A"/>
    <w:rsid w:val="00585C44"/>
    <w:rsid w:val="005871E5"/>
    <w:rsid w:val="0058767E"/>
    <w:rsid w:val="0058785F"/>
    <w:rsid w:val="00590C8B"/>
    <w:rsid w:val="00590D3D"/>
    <w:rsid w:val="005910E0"/>
    <w:rsid w:val="005918AA"/>
    <w:rsid w:val="005920D3"/>
    <w:rsid w:val="00593AEB"/>
    <w:rsid w:val="00594C93"/>
    <w:rsid w:val="00594ECF"/>
    <w:rsid w:val="00595E34"/>
    <w:rsid w:val="00595F5F"/>
    <w:rsid w:val="0059614B"/>
    <w:rsid w:val="00596596"/>
    <w:rsid w:val="00596D52"/>
    <w:rsid w:val="00597208"/>
    <w:rsid w:val="00597F55"/>
    <w:rsid w:val="005A096D"/>
    <w:rsid w:val="005A1149"/>
    <w:rsid w:val="005A184E"/>
    <w:rsid w:val="005A20B1"/>
    <w:rsid w:val="005A233A"/>
    <w:rsid w:val="005A3E62"/>
    <w:rsid w:val="005A4444"/>
    <w:rsid w:val="005A4B68"/>
    <w:rsid w:val="005A4D9D"/>
    <w:rsid w:val="005A4F27"/>
    <w:rsid w:val="005A51DF"/>
    <w:rsid w:val="005A5C4A"/>
    <w:rsid w:val="005A658E"/>
    <w:rsid w:val="005A6754"/>
    <w:rsid w:val="005A7069"/>
    <w:rsid w:val="005A7649"/>
    <w:rsid w:val="005A7758"/>
    <w:rsid w:val="005B0456"/>
    <w:rsid w:val="005B0B92"/>
    <w:rsid w:val="005B1637"/>
    <w:rsid w:val="005B2195"/>
    <w:rsid w:val="005B33DA"/>
    <w:rsid w:val="005B4992"/>
    <w:rsid w:val="005B4E91"/>
    <w:rsid w:val="005B4ECB"/>
    <w:rsid w:val="005B4F4C"/>
    <w:rsid w:val="005B5484"/>
    <w:rsid w:val="005B5EB2"/>
    <w:rsid w:val="005B6711"/>
    <w:rsid w:val="005B6795"/>
    <w:rsid w:val="005B692A"/>
    <w:rsid w:val="005B6F76"/>
    <w:rsid w:val="005B756E"/>
    <w:rsid w:val="005B763E"/>
    <w:rsid w:val="005B7CFB"/>
    <w:rsid w:val="005C0D8F"/>
    <w:rsid w:val="005C113F"/>
    <w:rsid w:val="005C2DD0"/>
    <w:rsid w:val="005C42C9"/>
    <w:rsid w:val="005C4D71"/>
    <w:rsid w:val="005C5B53"/>
    <w:rsid w:val="005C5C67"/>
    <w:rsid w:val="005C6649"/>
    <w:rsid w:val="005D019D"/>
    <w:rsid w:val="005D1B99"/>
    <w:rsid w:val="005D44B7"/>
    <w:rsid w:val="005D5595"/>
    <w:rsid w:val="005D5894"/>
    <w:rsid w:val="005D5EAD"/>
    <w:rsid w:val="005D62D7"/>
    <w:rsid w:val="005E0536"/>
    <w:rsid w:val="005E2DBA"/>
    <w:rsid w:val="005E3779"/>
    <w:rsid w:val="005E41E6"/>
    <w:rsid w:val="005E47EE"/>
    <w:rsid w:val="005E611F"/>
    <w:rsid w:val="005E64C4"/>
    <w:rsid w:val="005E674E"/>
    <w:rsid w:val="005E71DC"/>
    <w:rsid w:val="005E727C"/>
    <w:rsid w:val="005F090E"/>
    <w:rsid w:val="005F0B2C"/>
    <w:rsid w:val="005F1205"/>
    <w:rsid w:val="005F1416"/>
    <w:rsid w:val="005F1D36"/>
    <w:rsid w:val="005F2048"/>
    <w:rsid w:val="005F237C"/>
    <w:rsid w:val="005F39E7"/>
    <w:rsid w:val="005F3DB2"/>
    <w:rsid w:val="005F3FAC"/>
    <w:rsid w:val="005F40F4"/>
    <w:rsid w:val="005F46BC"/>
    <w:rsid w:val="006002E1"/>
    <w:rsid w:val="006005EB"/>
    <w:rsid w:val="00601FB7"/>
    <w:rsid w:val="00602010"/>
    <w:rsid w:val="00603069"/>
    <w:rsid w:val="006032CA"/>
    <w:rsid w:val="00603536"/>
    <w:rsid w:val="0060376D"/>
    <w:rsid w:val="00604796"/>
    <w:rsid w:val="00604E77"/>
    <w:rsid w:val="00604F10"/>
    <w:rsid w:val="006050E1"/>
    <w:rsid w:val="006053FE"/>
    <w:rsid w:val="00605E6B"/>
    <w:rsid w:val="00605E91"/>
    <w:rsid w:val="00607C43"/>
    <w:rsid w:val="00610034"/>
    <w:rsid w:val="0061068D"/>
    <w:rsid w:val="00610E12"/>
    <w:rsid w:val="006110A4"/>
    <w:rsid w:val="0061114E"/>
    <w:rsid w:val="00611379"/>
    <w:rsid w:val="00611DA4"/>
    <w:rsid w:val="00611EC6"/>
    <w:rsid w:val="0061253B"/>
    <w:rsid w:val="006135FC"/>
    <w:rsid w:val="006139D9"/>
    <w:rsid w:val="0061466A"/>
    <w:rsid w:val="00614DFF"/>
    <w:rsid w:val="00614EF7"/>
    <w:rsid w:val="00614FFD"/>
    <w:rsid w:val="0061685A"/>
    <w:rsid w:val="00617180"/>
    <w:rsid w:val="006204B1"/>
    <w:rsid w:val="006204E1"/>
    <w:rsid w:val="00620EFB"/>
    <w:rsid w:val="00621CFF"/>
    <w:rsid w:val="00621E9A"/>
    <w:rsid w:val="00621EF4"/>
    <w:rsid w:val="0062280F"/>
    <w:rsid w:val="006230EC"/>
    <w:rsid w:val="006233B0"/>
    <w:rsid w:val="0062398F"/>
    <w:rsid w:val="0062407C"/>
    <w:rsid w:val="00624899"/>
    <w:rsid w:val="00624D4B"/>
    <w:rsid w:val="00624F8C"/>
    <w:rsid w:val="0062538B"/>
    <w:rsid w:val="00625FC3"/>
    <w:rsid w:val="00625FF4"/>
    <w:rsid w:val="006263C3"/>
    <w:rsid w:val="0062690F"/>
    <w:rsid w:val="00626F2C"/>
    <w:rsid w:val="00627F7B"/>
    <w:rsid w:val="00630152"/>
    <w:rsid w:val="00631413"/>
    <w:rsid w:val="006316D1"/>
    <w:rsid w:val="006318DF"/>
    <w:rsid w:val="0063335E"/>
    <w:rsid w:val="006336B7"/>
    <w:rsid w:val="00633DDB"/>
    <w:rsid w:val="006342A9"/>
    <w:rsid w:val="00634CF0"/>
    <w:rsid w:val="00634D6E"/>
    <w:rsid w:val="006356D4"/>
    <w:rsid w:val="00636119"/>
    <w:rsid w:val="00636172"/>
    <w:rsid w:val="006370BB"/>
    <w:rsid w:val="00637564"/>
    <w:rsid w:val="0063799A"/>
    <w:rsid w:val="0064001D"/>
    <w:rsid w:val="0064099C"/>
    <w:rsid w:val="00640CC5"/>
    <w:rsid w:val="0064126F"/>
    <w:rsid w:val="006418A0"/>
    <w:rsid w:val="00641BE9"/>
    <w:rsid w:val="0064283A"/>
    <w:rsid w:val="00643926"/>
    <w:rsid w:val="006449AA"/>
    <w:rsid w:val="006456FF"/>
    <w:rsid w:val="006457AB"/>
    <w:rsid w:val="00645BF5"/>
    <w:rsid w:val="006460D9"/>
    <w:rsid w:val="0064685C"/>
    <w:rsid w:val="00646B69"/>
    <w:rsid w:val="00646BCE"/>
    <w:rsid w:val="006473F8"/>
    <w:rsid w:val="0064746F"/>
    <w:rsid w:val="00647A7E"/>
    <w:rsid w:val="0065058A"/>
    <w:rsid w:val="00650A86"/>
    <w:rsid w:val="00650E67"/>
    <w:rsid w:val="00651428"/>
    <w:rsid w:val="00651744"/>
    <w:rsid w:val="00651D5A"/>
    <w:rsid w:val="006521AA"/>
    <w:rsid w:val="006522C5"/>
    <w:rsid w:val="0065294F"/>
    <w:rsid w:val="00652A8B"/>
    <w:rsid w:val="00652C47"/>
    <w:rsid w:val="00652E51"/>
    <w:rsid w:val="0065306F"/>
    <w:rsid w:val="00653495"/>
    <w:rsid w:val="0065383C"/>
    <w:rsid w:val="00654807"/>
    <w:rsid w:val="006557C7"/>
    <w:rsid w:val="00655982"/>
    <w:rsid w:val="006565F2"/>
    <w:rsid w:val="006567FC"/>
    <w:rsid w:val="00656B4B"/>
    <w:rsid w:val="006602A8"/>
    <w:rsid w:val="00661AF1"/>
    <w:rsid w:val="00662A43"/>
    <w:rsid w:val="00662BDC"/>
    <w:rsid w:val="00663C8C"/>
    <w:rsid w:val="00664053"/>
    <w:rsid w:val="0066488F"/>
    <w:rsid w:val="00665B7C"/>
    <w:rsid w:val="00665F4C"/>
    <w:rsid w:val="00666C44"/>
    <w:rsid w:val="00666DCA"/>
    <w:rsid w:val="0066767A"/>
    <w:rsid w:val="006677D9"/>
    <w:rsid w:val="006678E3"/>
    <w:rsid w:val="006709BF"/>
    <w:rsid w:val="00671787"/>
    <w:rsid w:val="006720EC"/>
    <w:rsid w:val="0067242A"/>
    <w:rsid w:val="0067279C"/>
    <w:rsid w:val="006727FF"/>
    <w:rsid w:val="00672EB4"/>
    <w:rsid w:val="00672F33"/>
    <w:rsid w:val="00673C09"/>
    <w:rsid w:val="00674DFC"/>
    <w:rsid w:val="006754F3"/>
    <w:rsid w:val="006757EC"/>
    <w:rsid w:val="00676900"/>
    <w:rsid w:val="00676EFA"/>
    <w:rsid w:val="0067705A"/>
    <w:rsid w:val="00677174"/>
    <w:rsid w:val="006774FC"/>
    <w:rsid w:val="0067768A"/>
    <w:rsid w:val="0067787D"/>
    <w:rsid w:val="0068043B"/>
    <w:rsid w:val="00680925"/>
    <w:rsid w:val="00680D49"/>
    <w:rsid w:val="00681EEA"/>
    <w:rsid w:val="00683819"/>
    <w:rsid w:val="006838A2"/>
    <w:rsid w:val="00684DD9"/>
    <w:rsid w:val="00686901"/>
    <w:rsid w:val="00687F98"/>
    <w:rsid w:val="006902EE"/>
    <w:rsid w:val="00690844"/>
    <w:rsid w:val="006911F9"/>
    <w:rsid w:val="006912EE"/>
    <w:rsid w:val="006913F9"/>
    <w:rsid w:val="00691DA6"/>
    <w:rsid w:val="00691E62"/>
    <w:rsid w:val="00692527"/>
    <w:rsid w:val="00692600"/>
    <w:rsid w:val="00692DB1"/>
    <w:rsid w:val="00692FC2"/>
    <w:rsid w:val="0069319F"/>
    <w:rsid w:val="006931F5"/>
    <w:rsid w:val="00693F56"/>
    <w:rsid w:val="00694AE5"/>
    <w:rsid w:val="00695042"/>
    <w:rsid w:val="00695735"/>
    <w:rsid w:val="006960CA"/>
    <w:rsid w:val="006966C5"/>
    <w:rsid w:val="00696902"/>
    <w:rsid w:val="00697C83"/>
    <w:rsid w:val="00697D47"/>
    <w:rsid w:val="006A09BA"/>
    <w:rsid w:val="006A09F0"/>
    <w:rsid w:val="006A0ABF"/>
    <w:rsid w:val="006A1026"/>
    <w:rsid w:val="006A177E"/>
    <w:rsid w:val="006A2C4A"/>
    <w:rsid w:val="006A334D"/>
    <w:rsid w:val="006A3BB3"/>
    <w:rsid w:val="006A4237"/>
    <w:rsid w:val="006A4F3D"/>
    <w:rsid w:val="006A5B05"/>
    <w:rsid w:val="006A5D9D"/>
    <w:rsid w:val="006A61B2"/>
    <w:rsid w:val="006A6B10"/>
    <w:rsid w:val="006A7AF1"/>
    <w:rsid w:val="006A7E2B"/>
    <w:rsid w:val="006B0AA5"/>
    <w:rsid w:val="006B0D0D"/>
    <w:rsid w:val="006B0DB1"/>
    <w:rsid w:val="006B0FD8"/>
    <w:rsid w:val="006B18CA"/>
    <w:rsid w:val="006B19FC"/>
    <w:rsid w:val="006B2558"/>
    <w:rsid w:val="006B3262"/>
    <w:rsid w:val="006B3333"/>
    <w:rsid w:val="006B36B2"/>
    <w:rsid w:val="006B38EF"/>
    <w:rsid w:val="006B3AAC"/>
    <w:rsid w:val="006B41C7"/>
    <w:rsid w:val="006B47D6"/>
    <w:rsid w:val="006B4A47"/>
    <w:rsid w:val="006B57A0"/>
    <w:rsid w:val="006B5C49"/>
    <w:rsid w:val="006B619B"/>
    <w:rsid w:val="006B767F"/>
    <w:rsid w:val="006B7B66"/>
    <w:rsid w:val="006C0A2A"/>
    <w:rsid w:val="006C1FD3"/>
    <w:rsid w:val="006C2868"/>
    <w:rsid w:val="006C2AD7"/>
    <w:rsid w:val="006C2DA5"/>
    <w:rsid w:val="006C3438"/>
    <w:rsid w:val="006C392E"/>
    <w:rsid w:val="006C5D6F"/>
    <w:rsid w:val="006C64C4"/>
    <w:rsid w:val="006C718D"/>
    <w:rsid w:val="006D0A7D"/>
    <w:rsid w:val="006D1BDE"/>
    <w:rsid w:val="006D3331"/>
    <w:rsid w:val="006D3CE6"/>
    <w:rsid w:val="006D3D1B"/>
    <w:rsid w:val="006D4CA7"/>
    <w:rsid w:val="006D4CE6"/>
    <w:rsid w:val="006D6178"/>
    <w:rsid w:val="006D6528"/>
    <w:rsid w:val="006D693B"/>
    <w:rsid w:val="006D6B28"/>
    <w:rsid w:val="006D718E"/>
    <w:rsid w:val="006D7664"/>
    <w:rsid w:val="006D7713"/>
    <w:rsid w:val="006E0D77"/>
    <w:rsid w:val="006E1198"/>
    <w:rsid w:val="006E1C71"/>
    <w:rsid w:val="006E21EB"/>
    <w:rsid w:val="006E2B1C"/>
    <w:rsid w:val="006E2BE5"/>
    <w:rsid w:val="006E3F0D"/>
    <w:rsid w:val="006E783B"/>
    <w:rsid w:val="006E7F9F"/>
    <w:rsid w:val="006F03A8"/>
    <w:rsid w:val="006F03D7"/>
    <w:rsid w:val="006F0D7F"/>
    <w:rsid w:val="006F10E5"/>
    <w:rsid w:val="006F1DA3"/>
    <w:rsid w:val="006F2D71"/>
    <w:rsid w:val="006F3D6B"/>
    <w:rsid w:val="006F3F65"/>
    <w:rsid w:val="006F455B"/>
    <w:rsid w:val="006F5426"/>
    <w:rsid w:val="006F6141"/>
    <w:rsid w:val="00700138"/>
    <w:rsid w:val="00700EA2"/>
    <w:rsid w:val="007010B1"/>
    <w:rsid w:val="0070149F"/>
    <w:rsid w:val="007016C4"/>
    <w:rsid w:val="00701837"/>
    <w:rsid w:val="007022E0"/>
    <w:rsid w:val="007036CB"/>
    <w:rsid w:val="007056EF"/>
    <w:rsid w:val="007059E4"/>
    <w:rsid w:val="007060CB"/>
    <w:rsid w:val="00706281"/>
    <w:rsid w:val="00707559"/>
    <w:rsid w:val="007077A6"/>
    <w:rsid w:val="00712DFA"/>
    <w:rsid w:val="00712E64"/>
    <w:rsid w:val="00712F2E"/>
    <w:rsid w:val="007158D6"/>
    <w:rsid w:val="00715EAB"/>
    <w:rsid w:val="00716207"/>
    <w:rsid w:val="007162C9"/>
    <w:rsid w:val="00716EEE"/>
    <w:rsid w:val="00717E4D"/>
    <w:rsid w:val="00720117"/>
    <w:rsid w:val="00721479"/>
    <w:rsid w:val="00721609"/>
    <w:rsid w:val="0072185F"/>
    <w:rsid w:val="00721E86"/>
    <w:rsid w:val="00721EB3"/>
    <w:rsid w:val="00721FAF"/>
    <w:rsid w:val="00726300"/>
    <w:rsid w:val="00726501"/>
    <w:rsid w:val="00726CD2"/>
    <w:rsid w:val="00726CD4"/>
    <w:rsid w:val="00726DC3"/>
    <w:rsid w:val="007311E4"/>
    <w:rsid w:val="007313EF"/>
    <w:rsid w:val="00731807"/>
    <w:rsid w:val="00731ABC"/>
    <w:rsid w:val="00732220"/>
    <w:rsid w:val="00732AC0"/>
    <w:rsid w:val="00733745"/>
    <w:rsid w:val="00735DFB"/>
    <w:rsid w:val="00735FF1"/>
    <w:rsid w:val="007360DD"/>
    <w:rsid w:val="007370A5"/>
    <w:rsid w:val="00740032"/>
    <w:rsid w:val="0074223E"/>
    <w:rsid w:val="007423F2"/>
    <w:rsid w:val="007430E3"/>
    <w:rsid w:val="00743492"/>
    <w:rsid w:val="00745234"/>
    <w:rsid w:val="007456E0"/>
    <w:rsid w:val="00745EAA"/>
    <w:rsid w:val="0074602B"/>
    <w:rsid w:val="007500BB"/>
    <w:rsid w:val="007509B8"/>
    <w:rsid w:val="00750C7F"/>
    <w:rsid w:val="00751700"/>
    <w:rsid w:val="00752D5C"/>
    <w:rsid w:val="007532F0"/>
    <w:rsid w:val="0075343D"/>
    <w:rsid w:val="00753B51"/>
    <w:rsid w:val="00754201"/>
    <w:rsid w:val="00754A5F"/>
    <w:rsid w:val="00754F49"/>
    <w:rsid w:val="00755B1D"/>
    <w:rsid w:val="00756401"/>
    <w:rsid w:val="0076004A"/>
    <w:rsid w:val="0076095C"/>
    <w:rsid w:val="00760EBE"/>
    <w:rsid w:val="007610E3"/>
    <w:rsid w:val="00761F1E"/>
    <w:rsid w:val="00762A83"/>
    <w:rsid w:val="00763495"/>
    <w:rsid w:val="00763B70"/>
    <w:rsid w:val="0076447B"/>
    <w:rsid w:val="007644AB"/>
    <w:rsid w:val="00764C99"/>
    <w:rsid w:val="00765365"/>
    <w:rsid w:val="007654B7"/>
    <w:rsid w:val="0076568C"/>
    <w:rsid w:val="00766E66"/>
    <w:rsid w:val="007678F7"/>
    <w:rsid w:val="00771386"/>
    <w:rsid w:val="00771535"/>
    <w:rsid w:val="00771A55"/>
    <w:rsid w:val="0077253A"/>
    <w:rsid w:val="007727AA"/>
    <w:rsid w:val="00772E99"/>
    <w:rsid w:val="007731EB"/>
    <w:rsid w:val="00774011"/>
    <w:rsid w:val="007747E7"/>
    <w:rsid w:val="007753B9"/>
    <w:rsid w:val="00775B58"/>
    <w:rsid w:val="00776539"/>
    <w:rsid w:val="00776EAE"/>
    <w:rsid w:val="007776BE"/>
    <w:rsid w:val="0077780E"/>
    <w:rsid w:val="00777991"/>
    <w:rsid w:val="0078025E"/>
    <w:rsid w:val="00780476"/>
    <w:rsid w:val="00780656"/>
    <w:rsid w:val="0078174D"/>
    <w:rsid w:val="00782592"/>
    <w:rsid w:val="00782860"/>
    <w:rsid w:val="0078337E"/>
    <w:rsid w:val="00783AF7"/>
    <w:rsid w:val="00783CFA"/>
    <w:rsid w:val="00783DFB"/>
    <w:rsid w:val="00785362"/>
    <w:rsid w:val="007863CC"/>
    <w:rsid w:val="0078666F"/>
    <w:rsid w:val="00787430"/>
    <w:rsid w:val="00787A0C"/>
    <w:rsid w:val="00787F01"/>
    <w:rsid w:val="007909B1"/>
    <w:rsid w:val="00790C8E"/>
    <w:rsid w:val="007912B0"/>
    <w:rsid w:val="00791630"/>
    <w:rsid w:val="00792164"/>
    <w:rsid w:val="00792278"/>
    <w:rsid w:val="0079248F"/>
    <w:rsid w:val="00792EAB"/>
    <w:rsid w:val="00793098"/>
    <w:rsid w:val="00794793"/>
    <w:rsid w:val="00794D64"/>
    <w:rsid w:val="0079510B"/>
    <w:rsid w:val="0079542D"/>
    <w:rsid w:val="007954AF"/>
    <w:rsid w:val="00795969"/>
    <w:rsid w:val="00795A84"/>
    <w:rsid w:val="00795E7A"/>
    <w:rsid w:val="0079652F"/>
    <w:rsid w:val="00796645"/>
    <w:rsid w:val="007968AF"/>
    <w:rsid w:val="007968D6"/>
    <w:rsid w:val="00796B01"/>
    <w:rsid w:val="00797228"/>
    <w:rsid w:val="00797798"/>
    <w:rsid w:val="00797ED7"/>
    <w:rsid w:val="00797EFF"/>
    <w:rsid w:val="007A013A"/>
    <w:rsid w:val="007A0317"/>
    <w:rsid w:val="007A07CA"/>
    <w:rsid w:val="007A1222"/>
    <w:rsid w:val="007A159B"/>
    <w:rsid w:val="007A22B2"/>
    <w:rsid w:val="007A254E"/>
    <w:rsid w:val="007A2B3E"/>
    <w:rsid w:val="007A3C69"/>
    <w:rsid w:val="007A4513"/>
    <w:rsid w:val="007A461C"/>
    <w:rsid w:val="007A4A47"/>
    <w:rsid w:val="007A5016"/>
    <w:rsid w:val="007A51B4"/>
    <w:rsid w:val="007A5791"/>
    <w:rsid w:val="007A5FD6"/>
    <w:rsid w:val="007A62B3"/>
    <w:rsid w:val="007A6C4E"/>
    <w:rsid w:val="007A746F"/>
    <w:rsid w:val="007A7BC7"/>
    <w:rsid w:val="007B03F9"/>
    <w:rsid w:val="007B0CDE"/>
    <w:rsid w:val="007B0FE9"/>
    <w:rsid w:val="007B14AF"/>
    <w:rsid w:val="007B23CC"/>
    <w:rsid w:val="007B32AF"/>
    <w:rsid w:val="007B48A3"/>
    <w:rsid w:val="007B4C8E"/>
    <w:rsid w:val="007B4CEF"/>
    <w:rsid w:val="007B54C7"/>
    <w:rsid w:val="007B6540"/>
    <w:rsid w:val="007B6BEB"/>
    <w:rsid w:val="007B71E4"/>
    <w:rsid w:val="007B7B2E"/>
    <w:rsid w:val="007B7C6B"/>
    <w:rsid w:val="007C0404"/>
    <w:rsid w:val="007C0536"/>
    <w:rsid w:val="007C1B57"/>
    <w:rsid w:val="007C1FFD"/>
    <w:rsid w:val="007C2470"/>
    <w:rsid w:val="007C2754"/>
    <w:rsid w:val="007C2E9F"/>
    <w:rsid w:val="007C388B"/>
    <w:rsid w:val="007C3D5E"/>
    <w:rsid w:val="007C42A1"/>
    <w:rsid w:val="007C4843"/>
    <w:rsid w:val="007C6BAF"/>
    <w:rsid w:val="007C6BB6"/>
    <w:rsid w:val="007C7072"/>
    <w:rsid w:val="007C752E"/>
    <w:rsid w:val="007D0AFB"/>
    <w:rsid w:val="007D1342"/>
    <w:rsid w:val="007D15B9"/>
    <w:rsid w:val="007D2D50"/>
    <w:rsid w:val="007D3E6A"/>
    <w:rsid w:val="007D44E8"/>
    <w:rsid w:val="007D4989"/>
    <w:rsid w:val="007D4FEC"/>
    <w:rsid w:val="007D506E"/>
    <w:rsid w:val="007D5556"/>
    <w:rsid w:val="007D55F5"/>
    <w:rsid w:val="007D592A"/>
    <w:rsid w:val="007D5B18"/>
    <w:rsid w:val="007D6212"/>
    <w:rsid w:val="007D6519"/>
    <w:rsid w:val="007D6F46"/>
    <w:rsid w:val="007D7335"/>
    <w:rsid w:val="007D7BC6"/>
    <w:rsid w:val="007E1207"/>
    <w:rsid w:val="007E26C2"/>
    <w:rsid w:val="007E2B62"/>
    <w:rsid w:val="007E2C52"/>
    <w:rsid w:val="007E2FFF"/>
    <w:rsid w:val="007E39D1"/>
    <w:rsid w:val="007E4622"/>
    <w:rsid w:val="007E48CC"/>
    <w:rsid w:val="007E609E"/>
    <w:rsid w:val="007E63DB"/>
    <w:rsid w:val="007E729A"/>
    <w:rsid w:val="007E7656"/>
    <w:rsid w:val="007E76D0"/>
    <w:rsid w:val="007E7ABE"/>
    <w:rsid w:val="007F03A3"/>
    <w:rsid w:val="007F0AC9"/>
    <w:rsid w:val="007F17A8"/>
    <w:rsid w:val="007F3E34"/>
    <w:rsid w:val="007F3E6E"/>
    <w:rsid w:val="007F45CC"/>
    <w:rsid w:val="007F4E69"/>
    <w:rsid w:val="007F7185"/>
    <w:rsid w:val="007F730F"/>
    <w:rsid w:val="007F7D18"/>
    <w:rsid w:val="007F7F66"/>
    <w:rsid w:val="00800022"/>
    <w:rsid w:val="00800541"/>
    <w:rsid w:val="00800816"/>
    <w:rsid w:val="00800EBB"/>
    <w:rsid w:val="00801136"/>
    <w:rsid w:val="00802E87"/>
    <w:rsid w:val="008031C8"/>
    <w:rsid w:val="00803911"/>
    <w:rsid w:val="00804A76"/>
    <w:rsid w:val="00804E22"/>
    <w:rsid w:val="00805220"/>
    <w:rsid w:val="0080571A"/>
    <w:rsid w:val="00805B88"/>
    <w:rsid w:val="00807861"/>
    <w:rsid w:val="00807ADC"/>
    <w:rsid w:val="008108FC"/>
    <w:rsid w:val="008137AF"/>
    <w:rsid w:val="00813920"/>
    <w:rsid w:val="00814293"/>
    <w:rsid w:val="00814ABD"/>
    <w:rsid w:val="0081599C"/>
    <w:rsid w:val="00816677"/>
    <w:rsid w:val="00816E7E"/>
    <w:rsid w:val="0081733E"/>
    <w:rsid w:val="008173C5"/>
    <w:rsid w:val="0081755A"/>
    <w:rsid w:val="00817D6D"/>
    <w:rsid w:val="00817E5B"/>
    <w:rsid w:val="0082074B"/>
    <w:rsid w:val="00822323"/>
    <w:rsid w:val="008223FC"/>
    <w:rsid w:val="00823583"/>
    <w:rsid w:val="00823CAE"/>
    <w:rsid w:val="008243E5"/>
    <w:rsid w:val="00824EA6"/>
    <w:rsid w:val="008301BD"/>
    <w:rsid w:val="00830546"/>
    <w:rsid w:val="00830ED0"/>
    <w:rsid w:val="0083122A"/>
    <w:rsid w:val="0083134D"/>
    <w:rsid w:val="008315CC"/>
    <w:rsid w:val="00831AE9"/>
    <w:rsid w:val="00832020"/>
    <w:rsid w:val="0083216C"/>
    <w:rsid w:val="00833B2A"/>
    <w:rsid w:val="0083534C"/>
    <w:rsid w:val="00835951"/>
    <w:rsid w:val="00835AEF"/>
    <w:rsid w:val="00836067"/>
    <w:rsid w:val="00836592"/>
    <w:rsid w:val="0083687D"/>
    <w:rsid w:val="00836FC6"/>
    <w:rsid w:val="00837178"/>
    <w:rsid w:val="00837396"/>
    <w:rsid w:val="00837DBB"/>
    <w:rsid w:val="008435DE"/>
    <w:rsid w:val="00843C2B"/>
    <w:rsid w:val="008441D0"/>
    <w:rsid w:val="00845493"/>
    <w:rsid w:val="00846847"/>
    <w:rsid w:val="0084685E"/>
    <w:rsid w:val="008475B6"/>
    <w:rsid w:val="00847B0E"/>
    <w:rsid w:val="008501E9"/>
    <w:rsid w:val="0085026B"/>
    <w:rsid w:val="00850D51"/>
    <w:rsid w:val="00851893"/>
    <w:rsid w:val="0085196E"/>
    <w:rsid w:val="00851A47"/>
    <w:rsid w:val="00851A6B"/>
    <w:rsid w:val="00852375"/>
    <w:rsid w:val="00852DC7"/>
    <w:rsid w:val="00854B8D"/>
    <w:rsid w:val="008550AC"/>
    <w:rsid w:val="00855775"/>
    <w:rsid w:val="00855B95"/>
    <w:rsid w:val="00855F68"/>
    <w:rsid w:val="0085652C"/>
    <w:rsid w:val="00856E22"/>
    <w:rsid w:val="00857009"/>
    <w:rsid w:val="0085709F"/>
    <w:rsid w:val="00857211"/>
    <w:rsid w:val="00857223"/>
    <w:rsid w:val="00857691"/>
    <w:rsid w:val="0086001D"/>
    <w:rsid w:val="00860898"/>
    <w:rsid w:val="00860C92"/>
    <w:rsid w:val="008610A2"/>
    <w:rsid w:val="00861DB5"/>
    <w:rsid w:val="00862373"/>
    <w:rsid w:val="0086280A"/>
    <w:rsid w:val="00863010"/>
    <w:rsid w:val="00863531"/>
    <w:rsid w:val="00863C67"/>
    <w:rsid w:val="00863F80"/>
    <w:rsid w:val="0086655A"/>
    <w:rsid w:val="00867252"/>
    <w:rsid w:val="0086736B"/>
    <w:rsid w:val="00867820"/>
    <w:rsid w:val="00870792"/>
    <w:rsid w:val="0087110B"/>
    <w:rsid w:val="00872167"/>
    <w:rsid w:val="00872199"/>
    <w:rsid w:val="008729B8"/>
    <w:rsid w:val="00872D78"/>
    <w:rsid w:val="0087322B"/>
    <w:rsid w:val="00874514"/>
    <w:rsid w:val="0087534A"/>
    <w:rsid w:val="008769B5"/>
    <w:rsid w:val="0087702D"/>
    <w:rsid w:val="0087726F"/>
    <w:rsid w:val="00877AD9"/>
    <w:rsid w:val="00880296"/>
    <w:rsid w:val="00880958"/>
    <w:rsid w:val="008812BB"/>
    <w:rsid w:val="00883C85"/>
    <w:rsid w:val="00884E17"/>
    <w:rsid w:val="00884EF1"/>
    <w:rsid w:val="00884FE4"/>
    <w:rsid w:val="008869F7"/>
    <w:rsid w:val="008879F2"/>
    <w:rsid w:val="008900D1"/>
    <w:rsid w:val="0089096D"/>
    <w:rsid w:val="00890BEF"/>
    <w:rsid w:val="00891174"/>
    <w:rsid w:val="008918D9"/>
    <w:rsid w:val="00891977"/>
    <w:rsid w:val="00891C75"/>
    <w:rsid w:val="0089225D"/>
    <w:rsid w:val="008924EC"/>
    <w:rsid w:val="008926D3"/>
    <w:rsid w:val="008949EE"/>
    <w:rsid w:val="00895427"/>
    <w:rsid w:val="008955FC"/>
    <w:rsid w:val="00895DDF"/>
    <w:rsid w:val="0089663B"/>
    <w:rsid w:val="00896F6F"/>
    <w:rsid w:val="00897108"/>
    <w:rsid w:val="008A01D2"/>
    <w:rsid w:val="008A0461"/>
    <w:rsid w:val="008A05AD"/>
    <w:rsid w:val="008A1564"/>
    <w:rsid w:val="008A17F6"/>
    <w:rsid w:val="008A188A"/>
    <w:rsid w:val="008A19AF"/>
    <w:rsid w:val="008A38EB"/>
    <w:rsid w:val="008A463C"/>
    <w:rsid w:val="008A47DD"/>
    <w:rsid w:val="008A4B77"/>
    <w:rsid w:val="008A5648"/>
    <w:rsid w:val="008A6C41"/>
    <w:rsid w:val="008A6DA0"/>
    <w:rsid w:val="008A6DD8"/>
    <w:rsid w:val="008A72B8"/>
    <w:rsid w:val="008A750A"/>
    <w:rsid w:val="008A7DFC"/>
    <w:rsid w:val="008B13DB"/>
    <w:rsid w:val="008B151F"/>
    <w:rsid w:val="008B23A6"/>
    <w:rsid w:val="008B29B6"/>
    <w:rsid w:val="008B2C20"/>
    <w:rsid w:val="008B3598"/>
    <w:rsid w:val="008B381E"/>
    <w:rsid w:val="008B4024"/>
    <w:rsid w:val="008B4CB6"/>
    <w:rsid w:val="008B63E1"/>
    <w:rsid w:val="008B660E"/>
    <w:rsid w:val="008B7A22"/>
    <w:rsid w:val="008C00EE"/>
    <w:rsid w:val="008C088E"/>
    <w:rsid w:val="008C0B49"/>
    <w:rsid w:val="008C0BA9"/>
    <w:rsid w:val="008C2C0B"/>
    <w:rsid w:val="008C310C"/>
    <w:rsid w:val="008C3A9B"/>
    <w:rsid w:val="008C3CC8"/>
    <w:rsid w:val="008C50BB"/>
    <w:rsid w:val="008C516B"/>
    <w:rsid w:val="008C5536"/>
    <w:rsid w:val="008C7798"/>
    <w:rsid w:val="008C7B46"/>
    <w:rsid w:val="008D1428"/>
    <w:rsid w:val="008D27A9"/>
    <w:rsid w:val="008D28B7"/>
    <w:rsid w:val="008D3FC9"/>
    <w:rsid w:val="008D489A"/>
    <w:rsid w:val="008D530E"/>
    <w:rsid w:val="008D5502"/>
    <w:rsid w:val="008D57E5"/>
    <w:rsid w:val="008D6531"/>
    <w:rsid w:val="008D6A37"/>
    <w:rsid w:val="008D6B56"/>
    <w:rsid w:val="008D7B9B"/>
    <w:rsid w:val="008E0018"/>
    <w:rsid w:val="008E1FD0"/>
    <w:rsid w:val="008E219D"/>
    <w:rsid w:val="008E2374"/>
    <w:rsid w:val="008E2723"/>
    <w:rsid w:val="008E2F3A"/>
    <w:rsid w:val="008E3326"/>
    <w:rsid w:val="008E4428"/>
    <w:rsid w:val="008E5385"/>
    <w:rsid w:val="008E540E"/>
    <w:rsid w:val="008E57F9"/>
    <w:rsid w:val="008E5ABA"/>
    <w:rsid w:val="008E7826"/>
    <w:rsid w:val="008E7966"/>
    <w:rsid w:val="008E7AFB"/>
    <w:rsid w:val="008E7D05"/>
    <w:rsid w:val="008F0397"/>
    <w:rsid w:val="008F0D09"/>
    <w:rsid w:val="008F1736"/>
    <w:rsid w:val="008F1E54"/>
    <w:rsid w:val="008F3017"/>
    <w:rsid w:val="008F35B2"/>
    <w:rsid w:val="008F56FE"/>
    <w:rsid w:val="008F5946"/>
    <w:rsid w:val="008F5D2E"/>
    <w:rsid w:val="008F6776"/>
    <w:rsid w:val="008F6A7F"/>
    <w:rsid w:val="008F6E2B"/>
    <w:rsid w:val="008F72EF"/>
    <w:rsid w:val="008F7517"/>
    <w:rsid w:val="008F79F0"/>
    <w:rsid w:val="0090030A"/>
    <w:rsid w:val="00900BE2"/>
    <w:rsid w:val="00903C43"/>
    <w:rsid w:val="00903C73"/>
    <w:rsid w:val="00903E1E"/>
    <w:rsid w:val="009044E7"/>
    <w:rsid w:val="009054AD"/>
    <w:rsid w:val="00905C22"/>
    <w:rsid w:val="00905FE0"/>
    <w:rsid w:val="009068AB"/>
    <w:rsid w:val="009068B1"/>
    <w:rsid w:val="009069D1"/>
    <w:rsid w:val="00906D26"/>
    <w:rsid w:val="00906F7B"/>
    <w:rsid w:val="0091120F"/>
    <w:rsid w:val="00911224"/>
    <w:rsid w:val="00911B59"/>
    <w:rsid w:val="00911E6B"/>
    <w:rsid w:val="00912014"/>
    <w:rsid w:val="009145C5"/>
    <w:rsid w:val="00914CDB"/>
    <w:rsid w:val="0091504B"/>
    <w:rsid w:val="009154D3"/>
    <w:rsid w:val="00915FA8"/>
    <w:rsid w:val="00916E1B"/>
    <w:rsid w:val="00916E4E"/>
    <w:rsid w:val="00917188"/>
    <w:rsid w:val="00920110"/>
    <w:rsid w:val="00920754"/>
    <w:rsid w:val="009207DC"/>
    <w:rsid w:val="00920AC1"/>
    <w:rsid w:val="00920D24"/>
    <w:rsid w:val="00920FAE"/>
    <w:rsid w:val="009227CD"/>
    <w:rsid w:val="00923107"/>
    <w:rsid w:val="009231A9"/>
    <w:rsid w:val="009233CE"/>
    <w:rsid w:val="00924672"/>
    <w:rsid w:val="009246E4"/>
    <w:rsid w:val="00924790"/>
    <w:rsid w:val="00925044"/>
    <w:rsid w:val="0092573C"/>
    <w:rsid w:val="009260DF"/>
    <w:rsid w:val="0092758F"/>
    <w:rsid w:val="00930044"/>
    <w:rsid w:val="00930740"/>
    <w:rsid w:val="00930F47"/>
    <w:rsid w:val="00930F7C"/>
    <w:rsid w:val="00930F7D"/>
    <w:rsid w:val="0093122F"/>
    <w:rsid w:val="00931ED0"/>
    <w:rsid w:val="00932737"/>
    <w:rsid w:val="00932879"/>
    <w:rsid w:val="00932A7F"/>
    <w:rsid w:val="00932B5F"/>
    <w:rsid w:val="00933234"/>
    <w:rsid w:val="009336DC"/>
    <w:rsid w:val="00933D93"/>
    <w:rsid w:val="00933E01"/>
    <w:rsid w:val="00934653"/>
    <w:rsid w:val="009405B1"/>
    <w:rsid w:val="00941352"/>
    <w:rsid w:val="00941BB5"/>
    <w:rsid w:val="00942C49"/>
    <w:rsid w:val="00943E32"/>
    <w:rsid w:val="0094459F"/>
    <w:rsid w:val="009449E6"/>
    <w:rsid w:val="00945036"/>
    <w:rsid w:val="00946647"/>
    <w:rsid w:val="00946767"/>
    <w:rsid w:val="00946FBD"/>
    <w:rsid w:val="00947E1F"/>
    <w:rsid w:val="009504E3"/>
    <w:rsid w:val="009520A9"/>
    <w:rsid w:val="0095210E"/>
    <w:rsid w:val="009529F4"/>
    <w:rsid w:val="00952B64"/>
    <w:rsid w:val="00954CF9"/>
    <w:rsid w:val="009564B2"/>
    <w:rsid w:val="00956AF8"/>
    <w:rsid w:val="00956B16"/>
    <w:rsid w:val="00957840"/>
    <w:rsid w:val="009579DC"/>
    <w:rsid w:val="00960418"/>
    <w:rsid w:val="00960463"/>
    <w:rsid w:val="00960B5D"/>
    <w:rsid w:val="00962AE0"/>
    <w:rsid w:val="009641D8"/>
    <w:rsid w:val="009652C2"/>
    <w:rsid w:val="00965CCF"/>
    <w:rsid w:val="0096607D"/>
    <w:rsid w:val="009665E3"/>
    <w:rsid w:val="00966A93"/>
    <w:rsid w:val="0096792E"/>
    <w:rsid w:val="0096797A"/>
    <w:rsid w:val="00967A4B"/>
    <w:rsid w:val="00970E88"/>
    <w:rsid w:val="009712D7"/>
    <w:rsid w:val="0097165F"/>
    <w:rsid w:val="00971DB5"/>
    <w:rsid w:val="009721F9"/>
    <w:rsid w:val="00973059"/>
    <w:rsid w:val="00973DF2"/>
    <w:rsid w:val="00974818"/>
    <w:rsid w:val="00975EAC"/>
    <w:rsid w:val="0098023C"/>
    <w:rsid w:val="00981D04"/>
    <w:rsid w:val="009835E3"/>
    <w:rsid w:val="0098440B"/>
    <w:rsid w:val="0098443A"/>
    <w:rsid w:val="00985015"/>
    <w:rsid w:val="009857FC"/>
    <w:rsid w:val="00986A30"/>
    <w:rsid w:val="0098718E"/>
    <w:rsid w:val="00987A7E"/>
    <w:rsid w:val="00987BFC"/>
    <w:rsid w:val="00990672"/>
    <w:rsid w:val="00991591"/>
    <w:rsid w:val="00991746"/>
    <w:rsid w:val="00991AD6"/>
    <w:rsid w:val="00991BF1"/>
    <w:rsid w:val="00991C31"/>
    <w:rsid w:val="00992186"/>
    <w:rsid w:val="00993E5E"/>
    <w:rsid w:val="009945D2"/>
    <w:rsid w:val="009949B3"/>
    <w:rsid w:val="00996CA3"/>
    <w:rsid w:val="00996E9A"/>
    <w:rsid w:val="00997B5A"/>
    <w:rsid w:val="00997FE3"/>
    <w:rsid w:val="009A043B"/>
    <w:rsid w:val="009A0AAE"/>
    <w:rsid w:val="009A19AB"/>
    <w:rsid w:val="009A27E9"/>
    <w:rsid w:val="009A2DC3"/>
    <w:rsid w:val="009A32E5"/>
    <w:rsid w:val="009A4308"/>
    <w:rsid w:val="009A450F"/>
    <w:rsid w:val="009A4885"/>
    <w:rsid w:val="009A5675"/>
    <w:rsid w:val="009A58A4"/>
    <w:rsid w:val="009A6FFC"/>
    <w:rsid w:val="009A743C"/>
    <w:rsid w:val="009A7BB4"/>
    <w:rsid w:val="009B0C10"/>
    <w:rsid w:val="009B1B2F"/>
    <w:rsid w:val="009B2271"/>
    <w:rsid w:val="009B2561"/>
    <w:rsid w:val="009B28FC"/>
    <w:rsid w:val="009B2DF4"/>
    <w:rsid w:val="009B3F1A"/>
    <w:rsid w:val="009B4E67"/>
    <w:rsid w:val="009B61FB"/>
    <w:rsid w:val="009B6D2D"/>
    <w:rsid w:val="009B77CB"/>
    <w:rsid w:val="009B7A2F"/>
    <w:rsid w:val="009B7CD8"/>
    <w:rsid w:val="009C0EEF"/>
    <w:rsid w:val="009C2156"/>
    <w:rsid w:val="009C2EB7"/>
    <w:rsid w:val="009C2ECB"/>
    <w:rsid w:val="009C331E"/>
    <w:rsid w:val="009C3ABC"/>
    <w:rsid w:val="009C3E49"/>
    <w:rsid w:val="009C3EEC"/>
    <w:rsid w:val="009C4B82"/>
    <w:rsid w:val="009C5DB0"/>
    <w:rsid w:val="009C6B56"/>
    <w:rsid w:val="009C6E1D"/>
    <w:rsid w:val="009C6F0C"/>
    <w:rsid w:val="009C7A60"/>
    <w:rsid w:val="009C7AF4"/>
    <w:rsid w:val="009C7D83"/>
    <w:rsid w:val="009D01ED"/>
    <w:rsid w:val="009D040D"/>
    <w:rsid w:val="009D0932"/>
    <w:rsid w:val="009D12E6"/>
    <w:rsid w:val="009D2770"/>
    <w:rsid w:val="009D2B25"/>
    <w:rsid w:val="009D2EC6"/>
    <w:rsid w:val="009D2F5D"/>
    <w:rsid w:val="009D32FA"/>
    <w:rsid w:val="009D63D3"/>
    <w:rsid w:val="009D747F"/>
    <w:rsid w:val="009E060C"/>
    <w:rsid w:val="009E16DC"/>
    <w:rsid w:val="009E200E"/>
    <w:rsid w:val="009E2B6C"/>
    <w:rsid w:val="009E37D5"/>
    <w:rsid w:val="009E40BC"/>
    <w:rsid w:val="009E47DA"/>
    <w:rsid w:val="009E5414"/>
    <w:rsid w:val="009E5871"/>
    <w:rsid w:val="009E5B1E"/>
    <w:rsid w:val="009E5E19"/>
    <w:rsid w:val="009E62FC"/>
    <w:rsid w:val="009E6713"/>
    <w:rsid w:val="009E6CCC"/>
    <w:rsid w:val="009F13F6"/>
    <w:rsid w:val="009F1A2F"/>
    <w:rsid w:val="009F1EF6"/>
    <w:rsid w:val="009F46FC"/>
    <w:rsid w:val="009F50EB"/>
    <w:rsid w:val="009F5441"/>
    <w:rsid w:val="009F70ED"/>
    <w:rsid w:val="009F73C8"/>
    <w:rsid w:val="00A0020D"/>
    <w:rsid w:val="00A0195E"/>
    <w:rsid w:val="00A01A00"/>
    <w:rsid w:val="00A0219C"/>
    <w:rsid w:val="00A022ED"/>
    <w:rsid w:val="00A04599"/>
    <w:rsid w:val="00A051EE"/>
    <w:rsid w:val="00A052F7"/>
    <w:rsid w:val="00A056EE"/>
    <w:rsid w:val="00A0594E"/>
    <w:rsid w:val="00A060B4"/>
    <w:rsid w:val="00A069D4"/>
    <w:rsid w:val="00A07640"/>
    <w:rsid w:val="00A077C8"/>
    <w:rsid w:val="00A07E8F"/>
    <w:rsid w:val="00A1099F"/>
    <w:rsid w:val="00A10B4A"/>
    <w:rsid w:val="00A10C4F"/>
    <w:rsid w:val="00A111D0"/>
    <w:rsid w:val="00A119D7"/>
    <w:rsid w:val="00A11BDB"/>
    <w:rsid w:val="00A122BF"/>
    <w:rsid w:val="00A1251C"/>
    <w:rsid w:val="00A12C39"/>
    <w:rsid w:val="00A14819"/>
    <w:rsid w:val="00A14A28"/>
    <w:rsid w:val="00A1513B"/>
    <w:rsid w:val="00A16238"/>
    <w:rsid w:val="00A16882"/>
    <w:rsid w:val="00A1711A"/>
    <w:rsid w:val="00A203D6"/>
    <w:rsid w:val="00A2069A"/>
    <w:rsid w:val="00A208E7"/>
    <w:rsid w:val="00A20EC6"/>
    <w:rsid w:val="00A217E6"/>
    <w:rsid w:val="00A22041"/>
    <w:rsid w:val="00A22BB5"/>
    <w:rsid w:val="00A22EE1"/>
    <w:rsid w:val="00A23821"/>
    <w:rsid w:val="00A23D28"/>
    <w:rsid w:val="00A23E54"/>
    <w:rsid w:val="00A24541"/>
    <w:rsid w:val="00A25007"/>
    <w:rsid w:val="00A25C9E"/>
    <w:rsid w:val="00A2679E"/>
    <w:rsid w:val="00A26F49"/>
    <w:rsid w:val="00A277AA"/>
    <w:rsid w:val="00A27C05"/>
    <w:rsid w:val="00A303FD"/>
    <w:rsid w:val="00A30404"/>
    <w:rsid w:val="00A30F65"/>
    <w:rsid w:val="00A31B67"/>
    <w:rsid w:val="00A32FCB"/>
    <w:rsid w:val="00A3313F"/>
    <w:rsid w:val="00A33A84"/>
    <w:rsid w:val="00A33E58"/>
    <w:rsid w:val="00A356EB"/>
    <w:rsid w:val="00A35D86"/>
    <w:rsid w:val="00A36030"/>
    <w:rsid w:val="00A402C1"/>
    <w:rsid w:val="00A40F6C"/>
    <w:rsid w:val="00A41639"/>
    <w:rsid w:val="00A42BC0"/>
    <w:rsid w:val="00A42D98"/>
    <w:rsid w:val="00A44C5B"/>
    <w:rsid w:val="00A44E4D"/>
    <w:rsid w:val="00A45986"/>
    <w:rsid w:val="00A47AD5"/>
    <w:rsid w:val="00A50385"/>
    <w:rsid w:val="00A50B7E"/>
    <w:rsid w:val="00A523E8"/>
    <w:rsid w:val="00A525AF"/>
    <w:rsid w:val="00A52857"/>
    <w:rsid w:val="00A52AFE"/>
    <w:rsid w:val="00A52DC8"/>
    <w:rsid w:val="00A535D0"/>
    <w:rsid w:val="00A53D3B"/>
    <w:rsid w:val="00A53F31"/>
    <w:rsid w:val="00A54B2F"/>
    <w:rsid w:val="00A55121"/>
    <w:rsid w:val="00A55FE7"/>
    <w:rsid w:val="00A560E4"/>
    <w:rsid w:val="00A56638"/>
    <w:rsid w:val="00A57362"/>
    <w:rsid w:val="00A578F8"/>
    <w:rsid w:val="00A579EB"/>
    <w:rsid w:val="00A57A3D"/>
    <w:rsid w:val="00A57F91"/>
    <w:rsid w:val="00A61D19"/>
    <w:rsid w:val="00A61E75"/>
    <w:rsid w:val="00A625EA"/>
    <w:rsid w:val="00A63739"/>
    <w:rsid w:val="00A6386B"/>
    <w:rsid w:val="00A64151"/>
    <w:rsid w:val="00A6459C"/>
    <w:rsid w:val="00A64615"/>
    <w:rsid w:val="00A64F7D"/>
    <w:rsid w:val="00A65276"/>
    <w:rsid w:val="00A656DA"/>
    <w:rsid w:val="00A65B41"/>
    <w:rsid w:val="00A65C5B"/>
    <w:rsid w:val="00A66796"/>
    <w:rsid w:val="00A66EC5"/>
    <w:rsid w:val="00A67048"/>
    <w:rsid w:val="00A670B7"/>
    <w:rsid w:val="00A675BA"/>
    <w:rsid w:val="00A6781B"/>
    <w:rsid w:val="00A70765"/>
    <w:rsid w:val="00A70D6F"/>
    <w:rsid w:val="00A71ABE"/>
    <w:rsid w:val="00A72A2E"/>
    <w:rsid w:val="00A732DC"/>
    <w:rsid w:val="00A7338C"/>
    <w:rsid w:val="00A73957"/>
    <w:rsid w:val="00A74929"/>
    <w:rsid w:val="00A75308"/>
    <w:rsid w:val="00A75DA8"/>
    <w:rsid w:val="00A76232"/>
    <w:rsid w:val="00A766C9"/>
    <w:rsid w:val="00A76D06"/>
    <w:rsid w:val="00A76D9A"/>
    <w:rsid w:val="00A774DB"/>
    <w:rsid w:val="00A77A94"/>
    <w:rsid w:val="00A77EFE"/>
    <w:rsid w:val="00A80074"/>
    <w:rsid w:val="00A8084E"/>
    <w:rsid w:val="00A812AD"/>
    <w:rsid w:val="00A81CD4"/>
    <w:rsid w:val="00A82A7A"/>
    <w:rsid w:val="00A82CDB"/>
    <w:rsid w:val="00A8409E"/>
    <w:rsid w:val="00A84475"/>
    <w:rsid w:val="00A84AF0"/>
    <w:rsid w:val="00A84FE1"/>
    <w:rsid w:val="00A85020"/>
    <w:rsid w:val="00A850F5"/>
    <w:rsid w:val="00A8589F"/>
    <w:rsid w:val="00A860B8"/>
    <w:rsid w:val="00A860BA"/>
    <w:rsid w:val="00A86240"/>
    <w:rsid w:val="00A86279"/>
    <w:rsid w:val="00A86F5C"/>
    <w:rsid w:val="00A87AF2"/>
    <w:rsid w:val="00A87FAA"/>
    <w:rsid w:val="00A91867"/>
    <w:rsid w:val="00A92B45"/>
    <w:rsid w:val="00A93119"/>
    <w:rsid w:val="00A93120"/>
    <w:rsid w:val="00A94134"/>
    <w:rsid w:val="00A94646"/>
    <w:rsid w:val="00A9537F"/>
    <w:rsid w:val="00A957B0"/>
    <w:rsid w:val="00A95DAC"/>
    <w:rsid w:val="00A960A3"/>
    <w:rsid w:val="00A963E2"/>
    <w:rsid w:val="00A96E91"/>
    <w:rsid w:val="00A9737F"/>
    <w:rsid w:val="00A97466"/>
    <w:rsid w:val="00AA006E"/>
    <w:rsid w:val="00AA02A5"/>
    <w:rsid w:val="00AA0B36"/>
    <w:rsid w:val="00AA10A6"/>
    <w:rsid w:val="00AA1107"/>
    <w:rsid w:val="00AA2022"/>
    <w:rsid w:val="00AA2666"/>
    <w:rsid w:val="00AA2CC2"/>
    <w:rsid w:val="00AA38BC"/>
    <w:rsid w:val="00AA3CEC"/>
    <w:rsid w:val="00AA48B9"/>
    <w:rsid w:val="00AA4F40"/>
    <w:rsid w:val="00AA5FB5"/>
    <w:rsid w:val="00AA69BB"/>
    <w:rsid w:val="00AA77C8"/>
    <w:rsid w:val="00AA7EAE"/>
    <w:rsid w:val="00AB05E2"/>
    <w:rsid w:val="00AB0745"/>
    <w:rsid w:val="00AB0C0C"/>
    <w:rsid w:val="00AB0CD5"/>
    <w:rsid w:val="00AB0F37"/>
    <w:rsid w:val="00AB154C"/>
    <w:rsid w:val="00AB2154"/>
    <w:rsid w:val="00AB286D"/>
    <w:rsid w:val="00AB3BB3"/>
    <w:rsid w:val="00AB3CEC"/>
    <w:rsid w:val="00AB5374"/>
    <w:rsid w:val="00AB61BB"/>
    <w:rsid w:val="00AB6AB0"/>
    <w:rsid w:val="00AB79AB"/>
    <w:rsid w:val="00AB7F16"/>
    <w:rsid w:val="00AC0B10"/>
    <w:rsid w:val="00AC255A"/>
    <w:rsid w:val="00AC25B0"/>
    <w:rsid w:val="00AC278F"/>
    <w:rsid w:val="00AC2C65"/>
    <w:rsid w:val="00AC2F64"/>
    <w:rsid w:val="00AC458C"/>
    <w:rsid w:val="00AC4A22"/>
    <w:rsid w:val="00AC54C6"/>
    <w:rsid w:val="00AC572F"/>
    <w:rsid w:val="00AC6185"/>
    <w:rsid w:val="00AC633D"/>
    <w:rsid w:val="00AC6E91"/>
    <w:rsid w:val="00AD0805"/>
    <w:rsid w:val="00AD0B13"/>
    <w:rsid w:val="00AD0B29"/>
    <w:rsid w:val="00AD1218"/>
    <w:rsid w:val="00AD1C43"/>
    <w:rsid w:val="00AD1FEB"/>
    <w:rsid w:val="00AD225B"/>
    <w:rsid w:val="00AD2266"/>
    <w:rsid w:val="00AD2890"/>
    <w:rsid w:val="00AD2D31"/>
    <w:rsid w:val="00AD2FF6"/>
    <w:rsid w:val="00AD3091"/>
    <w:rsid w:val="00AD30D4"/>
    <w:rsid w:val="00AD37C6"/>
    <w:rsid w:val="00AD3DBD"/>
    <w:rsid w:val="00AD3E4F"/>
    <w:rsid w:val="00AD406C"/>
    <w:rsid w:val="00AD4263"/>
    <w:rsid w:val="00AD4CC8"/>
    <w:rsid w:val="00AD4DBD"/>
    <w:rsid w:val="00AD501E"/>
    <w:rsid w:val="00AD5C40"/>
    <w:rsid w:val="00AD608A"/>
    <w:rsid w:val="00AD6B2C"/>
    <w:rsid w:val="00AD7954"/>
    <w:rsid w:val="00AD7BFE"/>
    <w:rsid w:val="00AE021D"/>
    <w:rsid w:val="00AE060E"/>
    <w:rsid w:val="00AE0C59"/>
    <w:rsid w:val="00AE18D9"/>
    <w:rsid w:val="00AE1D0A"/>
    <w:rsid w:val="00AE32F4"/>
    <w:rsid w:val="00AE3AFD"/>
    <w:rsid w:val="00AE3C47"/>
    <w:rsid w:val="00AE3D7C"/>
    <w:rsid w:val="00AE3EC2"/>
    <w:rsid w:val="00AE3F51"/>
    <w:rsid w:val="00AE4F51"/>
    <w:rsid w:val="00AE58EC"/>
    <w:rsid w:val="00AE6A21"/>
    <w:rsid w:val="00AE6FB6"/>
    <w:rsid w:val="00AE74CF"/>
    <w:rsid w:val="00AE78CF"/>
    <w:rsid w:val="00AE7B94"/>
    <w:rsid w:val="00AF06FE"/>
    <w:rsid w:val="00AF1C0A"/>
    <w:rsid w:val="00AF2008"/>
    <w:rsid w:val="00AF2F10"/>
    <w:rsid w:val="00AF31CF"/>
    <w:rsid w:val="00AF31E7"/>
    <w:rsid w:val="00AF36BF"/>
    <w:rsid w:val="00AF41AC"/>
    <w:rsid w:val="00AF422D"/>
    <w:rsid w:val="00AF5AED"/>
    <w:rsid w:val="00AF6DD0"/>
    <w:rsid w:val="00AF6E99"/>
    <w:rsid w:val="00B00205"/>
    <w:rsid w:val="00B011A4"/>
    <w:rsid w:val="00B01B3C"/>
    <w:rsid w:val="00B03885"/>
    <w:rsid w:val="00B044E6"/>
    <w:rsid w:val="00B04A72"/>
    <w:rsid w:val="00B0509B"/>
    <w:rsid w:val="00B05486"/>
    <w:rsid w:val="00B0679C"/>
    <w:rsid w:val="00B06A78"/>
    <w:rsid w:val="00B06B30"/>
    <w:rsid w:val="00B06E0B"/>
    <w:rsid w:val="00B06E7B"/>
    <w:rsid w:val="00B070F4"/>
    <w:rsid w:val="00B073F6"/>
    <w:rsid w:val="00B07F91"/>
    <w:rsid w:val="00B10207"/>
    <w:rsid w:val="00B10C8A"/>
    <w:rsid w:val="00B110F2"/>
    <w:rsid w:val="00B1117E"/>
    <w:rsid w:val="00B1261C"/>
    <w:rsid w:val="00B1386B"/>
    <w:rsid w:val="00B13C2B"/>
    <w:rsid w:val="00B1467D"/>
    <w:rsid w:val="00B14A61"/>
    <w:rsid w:val="00B14C26"/>
    <w:rsid w:val="00B14FFF"/>
    <w:rsid w:val="00B15209"/>
    <w:rsid w:val="00B16532"/>
    <w:rsid w:val="00B166CF"/>
    <w:rsid w:val="00B16790"/>
    <w:rsid w:val="00B16E49"/>
    <w:rsid w:val="00B16E76"/>
    <w:rsid w:val="00B17460"/>
    <w:rsid w:val="00B17AA9"/>
    <w:rsid w:val="00B17BD8"/>
    <w:rsid w:val="00B20160"/>
    <w:rsid w:val="00B2051C"/>
    <w:rsid w:val="00B207AA"/>
    <w:rsid w:val="00B21311"/>
    <w:rsid w:val="00B213C0"/>
    <w:rsid w:val="00B2160B"/>
    <w:rsid w:val="00B21612"/>
    <w:rsid w:val="00B222CD"/>
    <w:rsid w:val="00B23C60"/>
    <w:rsid w:val="00B2590B"/>
    <w:rsid w:val="00B26E33"/>
    <w:rsid w:val="00B272F0"/>
    <w:rsid w:val="00B27560"/>
    <w:rsid w:val="00B30194"/>
    <w:rsid w:val="00B30CFC"/>
    <w:rsid w:val="00B32282"/>
    <w:rsid w:val="00B3315D"/>
    <w:rsid w:val="00B332E7"/>
    <w:rsid w:val="00B33A8D"/>
    <w:rsid w:val="00B350FC"/>
    <w:rsid w:val="00B35924"/>
    <w:rsid w:val="00B36C53"/>
    <w:rsid w:val="00B37F4B"/>
    <w:rsid w:val="00B4154F"/>
    <w:rsid w:val="00B416AB"/>
    <w:rsid w:val="00B41AF7"/>
    <w:rsid w:val="00B42095"/>
    <w:rsid w:val="00B42D05"/>
    <w:rsid w:val="00B43520"/>
    <w:rsid w:val="00B4387D"/>
    <w:rsid w:val="00B43AA6"/>
    <w:rsid w:val="00B44130"/>
    <w:rsid w:val="00B4472E"/>
    <w:rsid w:val="00B4528B"/>
    <w:rsid w:val="00B459DC"/>
    <w:rsid w:val="00B47AB6"/>
    <w:rsid w:val="00B5075D"/>
    <w:rsid w:val="00B50C17"/>
    <w:rsid w:val="00B5141A"/>
    <w:rsid w:val="00B53DC4"/>
    <w:rsid w:val="00B54148"/>
    <w:rsid w:val="00B5446A"/>
    <w:rsid w:val="00B54A36"/>
    <w:rsid w:val="00B55D8C"/>
    <w:rsid w:val="00B56346"/>
    <w:rsid w:val="00B56E90"/>
    <w:rsid w:val="00B577AB"/>
    <w:rsid w:val="00B602FF"/>
    <w:rsid w:val="00B607FC"/>
    <w:rsid w:val="00B60D06"/>
    <w:rsid w:val="00B61274"/>
    <w:rsid w:val="00B61607"/>
    <w:rsid w:val="00B61656"/>
    <w:rsid w:val="00B6175D"/>
    <w:rsid w:val="00B627A4"/>
    <w:rsid w:val="00B631A5"/>
    <w:rsid w:val="00B6397F"/>
    <w:rsid w:val="00B63DC8"/>
    <w:rsid w:val="00B63F6F"/>
    <w:rsid w:val="00B64974"/>
    <w:rsid w:val="00B64AAE"/>
    <w:rsid w:val="00B64FF0"/>
    <w:rsid w:val="00B65267"/>
    <w:rsid w:val="00B65393"/>
    <w:rsid w:val="00B65A03"/>
    <w:rsid w:val="00B65B37"/>
    <w:rsid w:val="00B65EE2"/>
    <w:rsid w:val="00B6628E"/>
    <w:rsid w:val="00B677A4"/>
    <w:rsid w:val="00B67A1F"/>
    <w:rsid w:val="00B711CC"/>
    <w:rsid w:val="00B717C0"/>
    <w:rsid w:val="00B71824"/>
    <w:rsid w:val="00B728EA"/>
    <w:rsid w:val="00B72D1B"/>
    <w:rsid w:val="00B736AA"/>
    <w:rsid w:val="00B75A22"/>
    <w:rsid w:val="00B75ADB"/>
    <w:rsid w:val="00B75FE6"/>
    <w:rsid w:val="00B76288"/>
    <w:rsid w:val="00B76ACA"/>
    <w:rsid w:val="00B76CC1"/>
    <w:rsid w:val="00B778BC"/>
    <w:rsid w:val="00B80944"/>
    <w:rsid w:val="00B8149D"/>
    <w:rsid w:val="00B8193F"/>
    <w:rsid w:val="00B81EF5"/>
    <w:rsid w:val="00B82352"/>
    <w:rsid w:val="00B82652"/>
    <w:rsid w:val="00B83709"/>
    <w:rsid w:val="00B83C19"/>
    <w:rsid w:val="00B849CC"/>
    <w:rsid w:val="00B84CDC"/>
    <w:rsid w:val="00B85FE8"/>
    <w:rsid w:val="00B869D8"/>
    <w:rsid w:val="00B87AC5"/>
    <w:rsid w:val="00B87B46"/>
    <w:rsid w:val="00B9022D"/>
    <w:rsid w:val="00B909DC"/>
    <w:rsid w:val="00B90E3F"/>
    <w:rsid w:val="00B9137A"/>
    <w:rsid w:val="00B91B6F"/>
    <w:rsid w:val="00B92415"/>
    <w:rsid w:val="00B9244B"/>
    <w:rsid w:val="00B92951"/>
    <w:rsid w:val="00B93152"/>
    <w:rsid w:val="00B93203"/>
    <w:rsid w:val="00B9357C"/>
    <w:rsid w:val="00B94DC0"/>
    <w:rsid w:val="00B95D66"/>
    <w:rsid w:val="00B961F6"/>
    <w:rsid w:val="00B96272"/>
    <w:rsid w:val="00B964A8"/>
    <w:rsid w:val="00B968B4"/>
    <w:rsid w:val="00B97DBB"/>
    <w:rsid w:val="00BA01F5"/>
    <w:rsid w:val="00BA025A"/>
    <w:rsid w:val="00BA04A6"/>
    <w:rsid w:val="00BA0736"/>
    <w:rsid w:val="00BA39AB"/>
    <w:rsid w:val="00BA5501"/>
    <w:rsid w:val="00BA57A3"/>
    <w:rsid w:val="00BA5D73"/>
    <w:rsid w:val="00BA6633"/>
    <w:rsid w:val="00BA6DA1"/>
    <w:rsid w:val="00BA6E48"/>
    <w:rsid w:val="00BB08A3"/>
    <w:rsid w:val="00BB0A2D"/>
    <w:rsid w:val="00BB0D03"/>
    <w:rsid w:val="00BB1014"/>
    <w:rsid w:val="00BB10C0"/>
    <w:rsid w:val="00BB1122"/>
    <w:rsid w:val="00BB1F9A"/>
    <w:rsid w:val="00BB2457"/>
    <w:rsid w:val="00BB2619"/>
    <w:rsid w:val="00BB27E6"/>
    <w:rsid w:val="00BB35C3"/>
    <w:rsid w:val="00BB372D"/>
    <w:rsid w:val="00BB374F"/>
    <w:rsid w:val="00BB4B19"/>
    <w:rsid w:val="00BB4D31"/>
    <w:rsid w:val="00BB4DCA"/>
    <w:rsid w:val="00BB616E"/>
    <w:rsid w:val="00BB697B"/>
    <w:rsid w:val="00BB6DE0"/>
    <w:rsid w:val="00BB7CB4"/>
    <w:rsid w:val="00BB7D86"/>
    <w:rsid w:val="00BC0B78"/>
    <w:rsid w:val="00BC0E2E"/>
    <w:rsid w:val="00BC1A5D"/>
    <w:rsid w:val="00BC26EA"/>
    <w:rsid w:val="00BC3EF6"/>
    <w:rsid w:val="00BC49B8"/>
    <w:rsid w:val="00BC6CD8"/>
    <w:rsid w:val="00BC7820"/>
    <w:rsid w:val="00BC7D56"/>
    <w:rsid w:val="00BC7DAC"/>
    <w:rsid w:val="00BD1336"/>
    <w:rsid w:val="00BD15CB"/>
    <w:rsid w:val="00BD181E"/>
    <w:rsid w:val="00BD1A21"/>
    <w:rsid w:val="00BD1E37"/>
    <w:rsid w:val="00BD2623"/>
    <w:rsid w:val="00BD309A"/>
    <w:rsid w:val="00BD40DC"/>
    <w:rsid w:val="00BD42A4"/>
    <w:rsid w:val="00BD45DE"/>
    <w:rsid w:val="00BD4694"/>
    <w:rsid w:val="00BD46AD"/>
    <w:rsid w:val="00BD4BA5"/>
    <w:rsid w:val="00BD4E54"/>
    <w:rsid w:val="00BD5450"/>
    <w:rsid w:val="00BD55CC"/>
    <w:rsid w:val="00BD5838"/>
    <w:rsid w:val="00BD6247"/>
    <w:rsid w:val="00BD651A"/>
    <w:rsid w:val="00BD6560"/>
    <w:rsid w:val="00BD68F8"/>
    <w:rsid w:val="00BD6B75"/>
    <w:rsid w:val="00BD78C0"/>
    <w:rsid w:val="00BE19FB"/>
    <w:rsid w:val="00BE1F75"/>
    <w:rsid w:val="00BE3B36"/>
    <w:rsid w:val="00BE467C"/>
    <w:rsid w:val="00BE551A"/>
    <w:rsid w:val="00BE5F1F"/>
    <w:rsid w:val="00BE6587"/>
    <w:rsid w:val="00BE6603"/>
    <w:rsid w:val="00BE695C"/>
    <w:rsid w:val="00BE7A13"/>
    <w:rsid w:val="00BF0CCF"/>
    <w:rsid w:val="00BF2F23"/>
    <w:rsid w:val="00BF3E05"/>
    <w:rsid w:val="00BF61AC"/>
    <w:rsid w:val="00C00140"/>
    <w:rsid w:val="00C00549"/>
    <w:rsid w:val="00C00AD7"/>
    <w:rsid w:val="00C0145A"/>
    <w:rsid w:val="00C014DA"/>
    <w:rsid w:val="00C017AD"/>
    <w:rsid w:val="00C01BC8"/>
    <w:rsid w:val="00C02749"/>
    <w:rsid w:val="00C02B5B"/>
    <w:rsid w:val="00C04C8B"/>
    <w:rsid w:val="00C04E78"/>
    <w:rsid w:val="00C058FC"/>
    <w:rsid w:val="00C05E2D"/>
    <w:rsid w:val="00C06C3A"/>
    <w:rsid w:val="00C07437"/>
    <w:rsid w:val="00C0772B"/>
    <w:rsid w:val="00C1039F"/>
    <w:rsid w:val="00C10CAE"/>
    <w:rsid w:val="00C10D40"/>
    <w:rsid w:val="00C10D72"/>
    <w:rsid w:val="00C11BF3"/>
    <w:rsid w:val="00C122FE"/>
    <w:rsid w:val="00C12F1D"/>
    <w:rsid w:val="00C132C0"/>
    <w:rsid w:val="00C13407"/>
    <w:rsid w:val="00C1366E"/>
    <w:rsid w:val="00C139E2"/>
    <w:rsid w:val="00C13BF7"/>
    <w:rsid w:val="00C13C74"/>
    <w:rsid w:val="00C14497"/>
    <w:rsid w:val="00C1487A"/>
    <w:rsid w:val="00C16448"/>
    <w:rsid w:val="00C171D8"/>
    <w:rsid w:val="00C2073D"/>
    <w:rsid w:val="00C22BC2"/>
    <w:rsid w:val="00C22D16"/>
    <w:rsid w:val="00C23FA9"/>
    <w:rsid w:val="00C244B3"/>
    <w:rsid w:val="00C255E2"/>
    <w:rsid w:val="00C25867"/>
    <w:rsid w:val="00C266E5"/>
    <w:rsid w:val="00C269F2"/>
    <w:rsid w:val="00C26D23"/>
    <w:rsid w:val="00C26F33"/>
    <w:rsid w:val="00C26F8F"/>
    <w:rsid w:val="00C2768E"/>
    <w:rsid w:val="00C30688"/>
    <w:rsid w:val="00C309E3"/>
    <w:rsid w:val="00C33166"/>
    <w:rsid w:val="00C3375A"/>
    <w:rsid w:val="00C340E0"/>
    <w:rsid w:val="00C3421C"/>
    <w:rsid w:val="00C3500E"/>
    <w:rsid w:val="00C351B3"/>
    <w:rsid w:val="00C3558B"/>
    <w:rsid w:val="00C3577F"/>
    <w:rsid w:val="00C35B1B"/>
    <w:rsid w:val="00C35D8B"/>
    <w:rsid w:val="00C3679F"/>
    <w:rsid w:val="00C36C2D"/>
    <w:rsid w:val="00C37B95"/>
    <w:rsid w:val="00C37EC2"/>
    <w:rsid w:val="00C401ED"/>
    <w:rsid w:val="00C40268"/>
    <w:rsid w:val="00C40A3E"/>
    <w:rsid w:val="00C414DB"/>
    <w:rsid w:val="00C41F60"/>
    <w:rsid w:val="00C42136"/>
    <w:rsid w:val="00C42BCC"/>
    <w:rsid w:val="00C43302"/>
    <w:rsid w:val="00C43314"/>
    <w:rsid w:val="00C44559"/>
    <w:rsid w:val="00C4524A"/>
    <w:rsid w:val="00C45346"/>
    <w:rsid w:val="00C46A3C"/>
    <w:rsid w:val="00C46D4C"/>
    <w:rsid w:val="00C47FE1"/>
    <w:rsid w:val="00C50006"/>
    <w:rsid w:val="00C5065B"/>
    <w:rsid w:val="00C5091D"/>
    <w:rsid w:val="00C51C54"/>
    <w:rsid w:val="00C52FAC"/>
    <w:rsid w:val="00C53721"/>
    <w:rsid w:val="00C547AB"/>
    <w:rsid w:val="00C548FA"/>
    <w:rsid w:val="00C55C6D"/>
    <w:rsid w:val="00C568AB"/>
    <w:rsid w:val="00C56A8F"/>
    <w:rsid w:val="00C56BCB"/>
    <w:rsid w:val="00C57C68"/>
    <w:rsid w:val="00C60693"/>
    <w:rsid w:val="00C60ADA"/>
    <w:rsid w:val="00C6143B"/>
    <w:rsid w:val="00C6152E"/>
    <w:rsid w:val="00C62218"/>
    <w:rsid w:val="00C6344D"/>
    <w:rsid w:val="00C63A76"/>
    <w:rsid w:val="00C63DE3"/>
    <w:rsid w:val="00C64407"/>
    <w:rsid w:val="00C64F79"/>
    <w:rsid w:val="00C65188"/>
    <w:rsid w:val="00C6529C"/>
    <w:rsid w:val="00C653C1"/>
    <w:rsid w:val="00C654A7"/>
    <w:rsid w:val="00C656F6"/>
    <w:rsid w:val="00C65F61"/>
    <w:rsid w:val="00C6733F"/>
    <w:rsid w:val="00C70051"/>
    <w:rsid w:val="00C70B80"/>
    <w:rsid w:val="00C70CCA"/>
    <w:rsid w:val="00C70D41"/>
    <w:rsid w:val="00C70EE4"/>
    <w:rsid w:val="00C70FFB"/>
    <w:rsid w:val="00C716DB"/>
    <w:rsid w:val="00C71F6A"/>
    <w:rsid w:val="00C737A1"/>
    <w:rsid w:val="00C74237"/>
    <w:rsid w:val="00C74278"/>
    <w:rsid w:val="00C74681"/>
    <w:rsid w:val="00C74F0C"/>
    <w:rsid w:val="00C7523E"/>
    <w:rsid w:val="00C752E4"/>
    <w:rsid w:val="00C76428"/>
    <w:rsid w:val="00C800EC"/>
    <w:rsid w:val="00C80114"/>
    <w:rsid w:val="00C80844"/>
    <w:rsid w:val="00C81725"/>
    <w:rsid w:val="00C81E1C"/>
    <w:rsid w:val="00C82089"/>
    <w:rsid w:val="00C82EFF"/>
    <w:rsid w:val="00C83183"/>
    <w:rsid w:val="00C83851"/>
    <w:rsid w:val="00C83C4F"/>
    <w:rsid w:val="00C8413B"/>
    <w:rsid w:val="00C84401"/>
    <w:rsid w:val="00C84B17"/>
    <w:rsid w:val="00C851AF"/>
    <w:rsid w:val="00C87133"/>
    <w:rsid w:val="00C874E5"/>
    <w:rsid w:val="00C87E30"/>
    <w:rsid w:val="00C90927"/>
    <w:rsid w:val="00C90BCB"/>
    <w:rsid w:val="00C923B8"/>
    <w:rsid w:val="00C9280A"/>
    <w:rsid w:val="00C930B9"/>
    <w:rsid w:val="00C93901"/>
    <w:rsid w:val="00C93A65"/>
    <w:rsid w:val="00C93FE1"/>
    <w:rsid w:val="00C95431"/>
    <w:rsid w:val="00C96FEF"/>
    <w:rsid w:val="00C9725B"/>
    <w:rsid w:val="00C97C94"/>
    <w:rsid w:val="00CA1215"/>
    <w:rsid w:val="00CA19AC"/>
    <w:rsid w:val="00CA1CE4"/>
    <w:rsid w:val="00CA1FCC"/>
    <w:rsid w:val="00CA2CFD"/>
    <w:rsid w:val="00CA2F1F"/>
    <w:rsid w:val="00CA3265"/>
    <w:rsid w:val="00CA3C41"/>
    <w:rsid w:val="00CA4A91"/>
    <w:rsid w:val="00CA583A"/>
    <w:rsid w:val="00CA613C"/>
    <w:rsid w:val="00CA6162"/>
    <w:rsid w:val="00CA66AD"/>
    <w:rsid w:val="00CA7A18"/>
    <w:rsid w:val="00CB0EDC"/>
    <w:rsid w:val="00CB0F5F"/>
    <w:rsid w:val="00CB19DF"/>
    <w:rsid w:val="00CB1E1E"/>
    <w:rsid w:val="00CB24CF"/>
    <w:rsid w:val="00CB2D71"/>
    <w:rsid w:val="00CB2F27"/>
    <w:rsid w:val="00CB59BA"/>
    <w:rsid w:val="00CB607B"/>
    <w:rsid w:val="00CB70B2"/>
    <w:rsid w:val="00CB7D7F"/>
    <w:rsid w:val="00CB7FF9"/>
    <w:rsid w:val="00CC0481"/>
    <w:rsid w:val="00CC072D"/>
    <w:rsid w:val="00CC2F61"/>
    <w:rsid w:val="00CC318A"/>
    <w:rsid w:val="00CC44F4"/>
    <w:rsid w:val="00CC4AEB"/>
    <w:rsid w:val="00CC522F"/>
    <w:rsid w:val="00CC6977"/>
    <w:rsid w:val="00CC7401"/>
    <w:rsid w:val="00CC7C0B"/>
    <w:rsid w:val="00CC7C2C"/>
    <w:rsid w:val="00CC7CD2"/>
    <w:rsid w:val="00CC7CF4"/>
    <w:rsid w:val="00CC7D43"/>
    <w:rsid w:val="00CD0DBD"/>
    <w:rsid w:val="00CD183E"/>
    <w:rsid w:val="00CD2D5D"/>
    <w:rsid w:val="00CD2D75"/>
    <w:rsid w:val="00CD3B97"/>
    <w:rsid w:val="00CD3BFB"/>
    <w:rsid w:val="00CD4379"/>
    <w:rsid w:val="00CD4CB3"/>
    <w:rsid w:val="00CD4E7A"/>
    <w:rsid w:val="00CD5404"/>
    <w:rsid w:val="00CD58EC"/>
    <w:rsid w:val="00CD6FBB"/>
    <w:rsid w:val="00CD7F4D"/>
    <w:rsid w:val="00CE0056"/>
    <w:rsid w:val="00CE1317"/>
    <w:rsid w:val="00CE14D0"/>
    <w:rsid w:val="00CE19FA"/>
    <w:rsid w:val="00CE21AE"/>
    <w:rsid w:val="00CE37AF"/>
    <w:rsid w:val="00CE3AC2"/>
    <w:rsid w:val="00CE5773"/>
    <w:rsid w:val="00CE582D"/>
    <w:rsid w:val="00CE5D3D"/>
    <w:rsid w:val="00CE601D"/>
    <w:rsid w:val="00CE6A09"/>
    <w:rsid w:val="00CE6BAA"/>
    <w:rsid w:val="00CE6D32"/>
    <w:rsid w:val="00CE6FEA"/>
    <w:rsid w:val="00CE7D2C"/>
    <w:rsid w:val="00CF02F6"/>
    <w:rsid w:val="00CF080C"/>
    <w:rsid w:val="00CF0931"/>
    <w:rsid w:val="00CF2039"/>
    <w:rsid w:val="00CF23CE"/>
    <w:rsid w:val="00CF245E"/>
    <w:rsid w:val="00CF40EB"/>
    <w:rsid w:val="00CF4BC5"/>
    <w:rsid w:val="00CF4C1F"/>
    <w:rsid w:val="00CF5050"/>
    <w:rsid w:val="00CF5218"/>
    <w:rsid w:val="00CF6A1B"/>
    <w:rsid w:val="00CF6E9B"/>
    <w:rsid w:val="00CF7EAE"/>
    <w:rsid w:val="00D0015C"/>
    <w:rsid w:val="00D00F6E"/>
    <w:rsid w:val="00D0136F"/>
    <w:rsid w:val="00D02307"/>
    <w:rsid w:val="00D03B35"/>
    <w:rsid w:val="00D03F8D"/>
    <w:rsid w:val="00D0494D"/>
    <w:rsid w:val="00D04D5E"/>
    <w:rsid w:val="00D07D9C"/>
    <w:rsid w:val="00D11980"/>
    <w:rsid w:val="00D11ACD"/>
    <w:rsid w:val="00D12A06"/>
    <w:rsid w:val="00D12D24"/>
    <w:rsid w:val="00D14073"/>
    <w:rsid w:val="00D14946"/>
    <w:rsid w:val="00D15F35"/>
    <w:rsid w:val="00D15F46"/>
    <w:rsid w:val="00D16403"/>
    <w:rsid w:val="00D1742C"/>
    <w:rsid w:val="00D21C91"/>
    <w:rsid w:val="00D226A6"/>
    <w:rsid w:val="00D22D5B"/>
    <w:rsid w:val="00D22F89"/>
    <w:rsid w:val="00D232E8"/>
    <w:rsid w:val="00D23B24"/>
    <w:rsid w:val="00D24483"/>
    <w:rsid w:val="00D24EBA"/>
    <w:rsid w:val="00D2621B"/>
    <w:rsid w:val="00D3030C"/>
    <w:rsid w:val="00D30324"/>
    <w:rsid w:val="00D30422"/>
    <w:rsid w:val="00D308FD"/>
    <w:rsid w:val="00D32395"/>
    <w:rsid w:val="00D32A6D"/>
    <w:rsid w:val="00D33C69"/>
    <w:rsid w:val="00D345A5"/>
    <w:rsid w:val="00D35417"/>
    <w:rsid w:val="00D4031C"/>
    <w:rsid w:val="00D40603"/>
    <w:rsid w:val="00D41383"/>
    <w:rsid w:val="00D4181A"/>
    <w:rsid w:val="00D41EF6"/>
    <w:rsid w:val="00D41FAD"/>
    <w:rsid w:val="00D423F9"/>
    <w:rsid w:val="00D42A79"/>
    <w:rsid w:val="00D4347E"/>
    <w:rsid w:val="00D43681"/>
    <w:rsid w:val="00D44BFC"/>
    <w:rsid w:val="00D45E67"/>
    <w:rsid w:val="00D46733"/>
    <w:rsid w:val="00D50016"/>
    <w:rsid w:val="00D509E1"/>
    <w:rsid w:val="00D51AFD"/>
    <w:rsid w:val="00D52309"/>
    <w:rsid w:val="00D52695"/>
    <w:rsid w:val="00D536CB"/>
    <w:rsid w:val="00D537A6"/>
    <w:rsid w:val="00D53A03"/>
    <w:rsid w:val="00D53E61"/>
    <w:rsid w:val="00D5439A"/>
    <w:rsid w:val="00D54726"/>
    <w:rsid w:val="00D55507"/>
    <w:rsid w:val="00D55A8D"/>
    <w:rsid w:val="00D55C9F"/>
    <w:rsid w:val="00D5616A"/>
    <w:rsid w:val="00D56CC1"/>
    <w:rsid w:val="00D575D4"/>
    <w:rsid w:val="00D57D65"/>
    <w:rsid w:val="00D60535"/>
    <w:rsid w:val="00D60564"/>
    <w:rsid w:val="00D60DC4"/>
    <w:rsid w:val="00D613A6"/>
    <w:rsid w:val="00D61CDE"/>
    <w:rsid w:val="00D61D81"/>
    <w:rsid w:val="00D625DE"/>
    <w:rsid w:val="00D62CDE"/>
    <w:rsid w:val="00D64BAB"/>
    <w:rsid w:val="00D6564E"/>
    <w:rsid w:val="00D66BB5"/>
    <w:rsid w:val="00D704EE"/>
    <w:rsid w:val="00D706FC"/>
    <w:rsid w:val="00D70B86"/>
    <w:rsid w:val="00D70D94"/>
    <w:rsid w:val="00D7166B"/>
    <w:rsid w:val="00D71860"/>
    <w:rsid w:val="00D71B0E"/>
    <w:rsid w:val="00D729C4"/>
    <w:rsid w:val="00D72BF6"/>
    <w:rsid w:val="00D732DE"/>
    <w:rsid w:val="00D74284"/>
    <w:rsid w:val="00D744A3"/>
    <w:rsid w:val="00D74528"/>
    <w:rsid w:val="00D7580A"/>
    <w:rsid w:val="00D75E6E"/>
    <w:rsid w:val="00D778E4"/>
    <w:rsid w:val="00D8191D"/>
    <w:rsid w:val="00D8195C"/>
    <w:rsid w:val="00D821B5"/>
    <w:rsid w:val="00D85AE3"/>
    <w:rsid w:val="00D85BA8"/>
    <w:rsid w:val="00D85DF4"/>
    <w:rsid w:val="00D86965"/>
    <w:rsid w:val="00D8780B"/>
    <w:rsid w:val="00D87858"/>
    <w:rsid w:val="00D9034C"/>
    <w:rsid w:val="00D909C3"/>
    <w:rsid w:val="00D9234C"/>
    <w:rsid w:val="00D92796"/>
    <w:rsid w:val="00D9384A"/>
    <w:rsid w:val="00D94CAD"/>
    <w:rsid w:val="00D961E2"/>
    <w:rsid w:val="00D96230"/>
    <w:rsid w:val="00D969F6"/>
    <w:rsid w:val="00D96F8D"/>
    <w:rsid w:val="00D97134"/>
    <w:rsid w:val="00D97552"/>
    <w:rsid w:val="00D978C1"/>
    <w:rsid w:val="00DA0FAA"/>
    <w:rsid w:val="00DA1188"/>
    <w:rsid w:val="00DA13AD"/>
    <w:rsid w:val="00DA21D0"/>
    <w:rsid w:val="00DA25D5"/>
    <w:rsid w:val="00DA2930"/>
    <w:rsid w:val="00DA29A6"/>
    <w:rsid w:val="00DA327A"/>
    <w:rsid w:val="00DA33CE"/>
    <w:rsid w:val="00DA34BA"/>
    <w:rsid w:val="00DA3691"/>
    <w:rsid w:val="00DA4DC5"/>
    <w:rsid w:val="00DA56F1"/>
    <w:rsid w:val="00DA5F47"/>
    <w:rsid w:val="00DA63EA"/>
    <w:rsid w:val="00DA66ED"/>
    <w:rsid w:val="00DA76D6"/>
    <w:rsid w:val="00DB014C"/>
    <w:rsid w:val="00DB0B34"/>
    <w:rsid w:val="00DB1421"/>
    <w:rsid w:val="00DB1911"/>
    <w:rsid w:val="00DB3320"/>
    <w:rsid w:val="00DB3600"/>
    <w:rsid w:val="00DB4597"/>
    <w:rsid w:val="00DB4711"/>
    <w:rsid w:val="00DB497F"/>
    <w:rsid w:val="00DB53BB"/>
    <w:rsid w:val="00DB63BC"/>
    <w:rsid w:val="00DB798F"/>
    <w:rsid w:val="00DB7A2A"/>
    <w:rsid w:val="00DB7D9B"/>
    <w:rsid w:val="00DC0C4D"/>
    <w:rsid w:val="00DC1239"/>
    <w:rsid w:val="00DC1B07"/>
    <w:rsid w:val="00DC1E60"/>
    <w:rsid w:val="00DC2117"/>
    <w:rsid w:val="00DC237F"/>
    <w:rsid w:val="00DC3450"/>
    <w:rsid w:val="00DC3C85"/>
    <w:rsid w:val="00DC4ABF"/>
    <w:rsid w:val="00DC5BF3"/>
    <w:rsid w:val="00DC6DC0"/>
    <w:rsid w:val="00DC76C8"/>
    <w:rsid w:val="00DC7C3D"/>
    <w:rsid w:val="00DD147A"/>
    <w:rsid w:val="00DD1676"/>
    <w:rsid w:val="00DD261F"/>
    <w:rsid w:val="00DD2BC3"/>
    <w:rsid w:val="00DD326C"/>
    <w:rsid w:val="00DD357D"/>
    <w:rsid w:val="00DD39A8"/>
    <w:rsid w:val="00DD3EA8"/>
    <w:rsid w:val="00DD43C6"/>
    <w:rsid w:val="00DD4C6B"/>
    <w:rsid w:val="00DD4EE7"/>
    <w:rsid w:val="00DD549D"/>
    <w:rsid w:val="00DD7D51"/>
    <w:rsid w:val="00DD7F6F"/>
    <w:rsid w:val="00DE0582"/>
    <w:rsid w:val="00DE08F8"/>
    <w:rsid w:val="00DE1411"/>
    <w:rsid w:val="00DE1C03"/>
    <w:rsid w:val="00DE222B"/>
    <w:rsid w:val="00DE27D6"/>
    <w:rsid w:val="00DE2DF8"/>
    <w:rsid w:val="00DE3A52"/>
    <w:rsid w:val="00DE41B9"/>
    <w:rsid w:val="00DE453F"/>
    <w:rsid w:val="00DE46DE"/>
    <w:rsid w:val="00DE47D6"/>
    <w:rsid w:val="00DE4FBA"/>
    <w:rsid w:val="00DE5A52"/>
    <w:rsid w:val="00DE62F9"/>
    <w:rsid w:val="00DE6724"/>
    <w:rsid w:val="00DE7907"/>
    <w:rsid w:val="00DE7DBC"/>
    <w:rsid w:val="00DF0220"/>
    <w:rsid w:val="00DF03E5"/>
    <w:rsid w:val="00DF0848"/>
    <w:rsid w:val="00DF1703"/>
    <w:rsid w:val="00DF1904"/>
    <w:rsid w:val="00DF21C0"/>
    <w:rsid w:val="00DF25EE"/>
    <w:rsid w:val="00DF3259"/>
    <w:rsid w:val="00DF3505"/>
    <w:rsid w:val="00DF35B9"/>
    <w:rsid w:val="00DF53DA"/>
    <w:rsid w:val="00DF6261"/>
    <w:rsid w:val="00DF6D36"/>
    <w:rsid w:val="00E001B6"/>
    <w:rsid w:val="00E00A49"/>
    <w:rsid w:val="00E00FF3"/>
    <w:rsid w:val="00E01D23"/>
    <w:rsid w:val="00E02280"/>
    <w:rsid w:val="00E02843"/>
    <w:rsid w:val="00E02C46"/>
    <w:rsid w:val="00E02D41"/>
    <w:rsid w:val="00E02EC2"/>
    <w:rsid w:val="00E03CBF"/>
    <w:rsid w:val="00E04365"/>
    <w:rsid w:val="00E0458D"/>
    <w:rsid w:val="00E04ACD"/>
    <w:rsid w:val="00E05A46"/>
    <w:rsid w:val="00E05FC3"/>
    <w:rsid w:val="00E06545"/>
    <w:rsid w:val="00E0656F"/>
    <w:rsid w:val="00E068D6"/>
    <w:rsid w:val="00E06D6B"/>
    <w:rsid w:val="00E06DDD"/>
    <w:rsid w:val="00E10590"/>
    <w:rsid w:val="00E10924"/>
    <w:rsid w:val="00E10B7F"/>
    <w:rsid w:val="00E11BD7"/>
    <w:rsid w:val="00E11D87"/>
    <w:rsid w:val="00E12BA8"/>
    <w:rsid w:val="00E13B13"/>
    <w:rsid w:val="00E13FFE"/>
    <w:rsid w:val="00E146CC"/>
    <w:rsid w:val="00E14C3E"/>
    <w:rsid w:val="00E15193"/>
    <w:rsid w:val="00E15367"/>
    <w:rsid w:val="00E15AA3"/>
    <w:rsid w:val="00E161A1"/>
    <w:rsid w:val="00E163D0"/>
    <w:rsid w:val="00E16BAE"/>
    <w:rsid w:val="00E16D21"/>
    <w:rsid w:val="00E17237"/>
    <w:rsid w:val="00E17F93"/>
    <w:rsid w:val="00E20272"/>
    <w:rsid w:val="00E2053B"/>
    <w:rsid w:val="00E21C7E"/>
    <w:rsid w:val="00E221D0"/>
    <w:rsid w:val="00E22328"/>
    <w:rsid w:val="00E2254C"/>
    <w:rsid w:val="00E22D81"/>
    <w:rsid w:val="00E23013"/>
    <w:rsid w:val="00E23375"/>
    <w:rsid w:val="00E23736"/>
    <w:rsid w:val="00E245C3"/>
    <w:rsid w:val="00E24A84"/>
    <w:rsid w:val="00E2556E"/>
    <w:rsid w:val="00E257D7"/>
    <w:rsid w:val="00E25861"/>
    <w:rsid w:val="00E25B73"/>
    <w:rsid w:val="00E264FF"/>
    <w:rsid w:val="00E26AF0"/>
    <w:rsid w:val="00E27D21"/>
    <w:rsid w:val="00E27F6C"/>
    <w:rsid w:val="00E27FC8"/>
    <w:rsid w:val="00E316EB"/>
    <w:rsid w:val="00E3173A"/>
    <w:rsid w:val="00E31FBB"/>
    <w:rsid w:val="00E339A8"/>
    <w:rsid w:val="00E33C4D"/>
    <w:rsid w:val="00E33CAD"/>
    <w:rsid w:val="00E33E6F"/>
    <w:rsid w:val="00E33FB9"/>
    <w:rsid w:val="00E34AB5"/>
    <w:rsid w:val="00E35CF0"/>
    <w:rsid w:val="00E36272"/>
    <w:rsid w:val="00E36A03"/>
    <w:rsid w:val="00E40058"/>
    <w:rsid w:val="00E40CA4"/>
    <w:rsid w:val="00E41158"/>
    <w:rsid w:val="00E435C4"/>
    <w:rsid w:val="00E43E92"/>
    <w:rsid w:val="00E448B3"/>
    <w:rsid w:val="00E4492C"/>
    <w:rsid w:val="00E44946"/>
    <w:rsid w:val="00E44BDE"/>
    <w:rsid w:val="00E4578B"/>
    <w:rsid w:val="00E46431"/>
    <w:rsid w:val="00E465C0"/>
    <w:rsid w:val="00E46685"/>
    <w:rsid w:val="00E46D0C"/>
    <w:rsid w:val="00E50247"/>
    <w:rsid w:val="00E504D6"/>
    <w:rsid w:val="00E5056D"/>
    <w:rsid w:val="00E507CA"/>
    <w:rsid w:val="00E50D98"/>
    <w:rsid w:val="00E514A5"/>
    <w:rsid w:val="00E5200D"/>
    <w:rsid w:val="00E52135"/>
    <w:rsid w:val="00E547DB"/>
    <w:rsid w:val="00E550C2"/>
    <w:rsid w:val="00E55422"/>
    <w:rsid w:val="00E562A9"/>
    <w:rsid w:val="00E56D25"/>
    <w:rsid w:val="00E56FDA"/>
    <w:rsid w:val="00E5709E"/>
    <w:rsid w:val="00E57D87"/>
    <w:rsid w:val="00E605E7"/>
    <w:rsid w:val="00E60A19"/>
    <w:rsid w:val="00E60C25"/>
    <w:rsid w:val="00E60C3E"/>
    <w:rsid w:val="00E615E5"/>
    <w:rsid w:val="00E61AB5"/>
    <w:rsid w:val="00E62823"/>
    <w:rsid w:val="00E629AE"/>
    <w:rsid w:val="00E63AA9"/>
    <w:rsid w:val="00E64479"/>
    <w:rsid w:val="00E64654"/>
    <w:rsid w:val="00E64ACA"/>
    <w:rsid w:val="00E65C28"/>
    <w:rsid w:val="00E6610E"/>
    <w:rsid w:val="00E66181"/>
    <w:rsid w:val="00E66FCD"/>
    <w:rsid w:val="00E670BB"/>
    <w:rsid w:val="00E67C8E"/>
    <w:rsid w:val="00E67EA6"/>
    <w:rsid w:val="00E67EB1"/>
    <w:rsid w:val="00E70785"/>
    <w:rsid w:val="00E71522"/>
    <w:rsid w:val="00E72C4C"/>
    <w:rsid w:val="00E73313"/>
    <w:rsid w:val="00E73E87"/>
    <w:rsid w:val="00E746BC"/>
    <w:rsid w:val="00E74C82"/>
    <w:rsid w:val="00E75277"/>
    <w:rsid w:val="00E76087"/>
    <w:rsid w:val="00E76327"/>
    <w:rsid w:val="00E763D0"/>
    <w:rsid w:val="00E76B4A"/>
    <w:rsid w:val="00E76B9A"/>
    <w:rsid w:val="00E7727F"/>
    <w:rsid w:val="00E77328"/>
    <w:rsid w:val="00E77E91"/>
    <w:rsid w:val="00E807CA"/>
    <w:rsid w:val="00E81ACD"/>
    <w:rsid w:val="00E82297"/>
    <w:rsid w:val="00E82435"/>
    <w:rsid w:val="00E82C71"/>
    <w:rsid w:val="00E8365B"/>
    <w:rsid w:val="00E83970"/>
    <w:rsid w:val="00E842DF"/>
    <w:rsid w:val="00E85486"/>
    <w:rsid w:val="00E860B6"/>
    <w:rsid w:val="00E865A2"/>
    <w:rsid w:val="00E87292"/>
    <w:rsid w:val="00E87532"/>
    <w:rsid w:val="00E87EC9"/>
    <w:rsid w:val="00E90259"/>
    <w:rsid w:val="00E910B2"/>
    <w:rsid w:val="00E92A77"/>
    <w:rsid w:val="00E943FA"/>
    <w:rsid w:val="00E94B74"/>
    <w:rsid w:val="00E955DB"/>
    <w:rsid w:val="00E95795"/>
    <w:rsid w:val="00E95EE1"/>
    <w:rsid w:val="00E96EFF"/>
    <w:rsid w:val="00E972AD"/>
    <w:rsid w:val="00E972B2"/>
    <w:rsid w:val="00EA039C"/>
    <w:rsid w:val="00EA052F"/>
    <w:rsid w:val="00EA0FD6"/>
    <w:rsid w:val="00EA1D76"/>
    <w:rsid w:val="00EA243C"/>
    <w:rsid w:val="00EA37BC"/>
    <w:rsid w:val="00EA3BB7"/>
    <w:rsid w:val="00EA4C4C"/>
    <w:rsid w:val="00EA5728"/>
    <w:rsid w:val="00EA5DCB"/>
    <w:rsid w:val="00EA6A4D"/>
    <w:rsid w:val="00EA782B"/>
    <w:rsid w:val="00EB01C1"/>
    <w:rsid w:val="00EB0DCF"/>
    <w:rsid w:val="00EB0F22"/>
    <w:rsid w:val="00EB1404"/>
    <w:rsid w:val="00EB1675"/>
    <w:rsid w:val="00EB1C0E"/>
    <w:rsid w:val="00EB31E1"/>
    <w:rsid w:val="00EB34C5"/>
    <w:rsid w:val="00EB3987"/>
    <w:rsid w:val="00EB3E21"/>
    <w:rsid w:val="00EB42BF"/>
    <w:rsid w:val="00EB442A"/>
    <w:rsid w:val="00EB4C3B"/>
    <w:rsid w:val="00EB59E8"/>
    <w:rsid w:val="00EB6173"/>
    <w:rsid w:val="00EB6E77"/>
    <w:rsid w:val="00EB6ED0"/>
    <w:rsid w:val="00EB7C2E"/>
    <w:rsid w:val="00EC1DDC"/>
    <w:rsid w:val="00EC4463"/>
    <w:rsid w:val="00EC46D8"/>
    <w:rsid w:val="00EC48D9"/>
    <w:rsid w:val="00EC5B5A"/>
    <w:rsid w:val="00EC5FC9"/>
    <w:rsid w:val="00EC68B9"/>
    <w:rsid w:val="00EC6BDC"/>
    <w:rsid w:val="00ED068E"/>
    <w:rsid w:val="00ED0822"/>
    <w:rsid w:val="00ED091A"/>
    <w:rsid w:val="00ED1DB7"/>
    <w:rsid w:val="00ED21D2"/>
    <w:rsid w:val="00ED2BEB"/>
    <w:rsid w:val="00ED2CF2"/>
    <w:rsid w:val="00ED43C0"/>
    <w:rsid w:val="00ED57AE"/>
    <w:rsid w:val="00ED5A84"/>
    <w:rsid w:val="00ED609F"/>
    <w:rsid w:val="00ED74E9"/>
    <w:rsid w:val="00ED79F9"/>
    <w:rsid w:val="00EE001C"/>
    <w:rsid w:val="00EE0116"/>
    <w:rsid w:val="00EE09E3"/>
    <w:rsid w:val="00EE2C5F"/>
    <w:rsid w:val="00EE2E5A"/>
    <w:rsid w:val="00EE3219"/>
    <w:rsid w:val="00EE32E0"/>
    <w:rsid w:val="00EE33D9"/>
    <w:rsid w:val="00EE3825"/>
    <w:rsid w:val="00EE3DA7"/>
    <w:rsid w:val="00EE3E96"/>
    <w:rsid w:val="00EE6069"/>
    <w:rsid w:val="00EE7297"/>
    <w:rsid w:val="00EE7646"/>
    <w:rsid w:val="00EE77E6"/>
    <w:rsid w:val="00EE7CC8"/>
    <w:rsid w:val="00EE7D27"/>
    <w:rsid w:val="00EF0A1D"/>
    <w:rsid w:val="00EF1A67"/>
    <w:rsid w:val="00EF3BE4"/>
    <w:rsid w:val="00EF3DF4"/>
    <w:rsid w:val="00EF3DF9"/>
    <w:rsid w:val="00EF4411"/>
    <w:rsid w:val="00EF4500"/>
    <w:rsid w:val="00EF5223"/>
    <w:rsid w:val="00EF6482"/>
    <w:rsid w:val="00EF6C8B"/>
    <w:rsid w:val="00EF7726"/>
    <w:rsid w:val="00EF787A"/>
    <w:rsid w:val="00F004C2"/>
    <w:rsid w:val="00F009D0"/>
    <w:rsid w:val="00F00CAE"/>
    <w:rsid w:val="00F00CDA"/>
    <w:rsid w:val="00F011F6"/>
    <w:rsid w:val="00F01C7F"/>
    <w:rsid w:val="00F0204C"/>
    <w:rsid w:val="00F025A6"/>
    <w:rsid w:val="00F025E5"/>
    <w:rsid w:val="00F03196"/>
    <w:rsid w:val="00F03A70"/>
    <w:rsid w:val="00F03B2F"/>
    <w:rsid w:val="00F04C8B"/>
    <w:rsid w:val="00F04FE6"/>
    <w:rsid w:val="00F053E9"/>
    <w:rsid w:val="00F060B5"/>
    <w:rsid w:val="00F06972"/>
    <w:rsid w:val="00F070CB"/>
    <w:rsid w:val="00F0769A"/>
    <w:rsid w:val="00F07B95"/>
    <w:rsid w:val="00F07BA1"/>
    <w:rsid w:val="00F1010B"/>
    <w:rsid w:val="00F10557"/>
    <w:rsid w:val="00F105F0"/>
    <w:rsid w:val="00F112E0"/>
    <w:rsid w:val="00F11411"/>
    <w:rsid w:val="00F1155F"/>
    <w:rsid w:val="00F1175D"/>
    <w:rsid w:val="00F11791"/>
    <w:rsid w:val="00F11F37"/>
    <w:rsid w:val="00F12527"/>
    <w:rsid w:val="00F13673"/>
    <w:rsid w:val="00F142F5"/>
    <w:rsid w:val="00F144BE"/>
    <w:rsid w:val="00F157F9"/>
    <w:rsid w:val="00F15916"/>
    <w:rsid w:val="00F165E1"/>
    <w:rsid w:val="00F16BF1"/>
    <w:rsid w:val="00F16DF0"/>
    <w:rsid w:val="00F16E8C"/>
    <w:rsid w:val="00F176EA"/>
    <w:rsid w:val="00F201CC"/>
    <w:rsid w:val="00F20545"/>
    <w:rsid w:val="00F20A9D"/>
    <w:rsid w:val="00F20B3E"/>
    <w:rsid w:val="00F20E6A"/>
    <w:rsid w:val="00F20EF8"/>
    <w:rsid w:val="00F22C4C"/>
    <w:rsid w:val="00F230A0"/>
    <w:rsid w:val="00F236B9"/>
    <w:rsid w:val="00F23CB7"/>
    <w:rsid w:val="00F23E62"/>
    <w:rsid w:val="00F24234"/>
    <w:rsid w:val="00F24CA7"/>
    <w:rsid w:val="00F261AF"/>
    <w:rsid w:val="00F2753E"/>
    <w:rsid w:val="00F27844"/>
    <w:rsid w:val="00F27A0D"/>
    <w:rsid w:val="00F3082A"/>
    <w:rsid w:val="00F30A15"/>
    <w:rsid w:val="00F30A9E"/>
    <w:rsid w:val="00F31105"/>
    <w:rsid w:val="00F313C4"/>
    <w:rsid w:val="00F31768"/>
    <w:rsid w:val="00F3180C"/>
    <w:rsid w:val="00F3193A"/>
    <w:rsid w:val="00F31BFE"/>
    <w:rsid w:val="00F32832"/>
    <w:rsid w:val="00F33BB7"/>
    <w:rsid w:val="00F36048"/>
    <w:rsid w:val="00F36A2B"/>
    <w:rsid w:val="00F37737"/>
    <w:rsid w:val="00F4099C"/>
    <w:rsid w:val="00F40B8C"/>
    <w:rsid w:val="00F41517"/>
    <w:rsid w:val="00F41721"/>
    <w:rsid w:val="00F418AB"/>
    <w:rsid w:val="00F42026"/>
    <w:rsid w:val="00F431B9"/>
    <w:rsid w:val="00F4326C"/>
    <w:rsid w:val="00F439FA"/>
    <w:rsid w:val="00F4426B"/>
    <w:rsid w:val="00F44511"/>
    <w:rsid w:val="00F44807"/>
    <w:rsid w:val="00F44E62"/>
    <w:rsid w:val="00F454CB"/>
    <w:rsid w:val="00F454F5"/>
    <w:rsid w:val="00F45849"/>
    <w:rsid w:val="00F45B14"/>
    <w:rsid w:val="00F4616D"/>
    <w:rsid w:val="00F468C2"/>
    <w:rsid w:val="00F46C7C"/>
    <w:rsid w:val="00F504BC"/>
    <w:rsid w:val="00F513B9"/>
    <w:rsid w:val="00F53B3C"/>
    <w:rsid w:val="00F53E54"/>
    <w:rsid w:val="00F56693"/>
    <w:rsid w:val="00F56A62"/>
    <w:rsid w:val="00F57A91"/>
    <w:rsid w:val="00F57C52"/>
    <w:rsid w:val="00F60360"/>
    <w:rsid w:val="00F6183C"/>
    <w:rsid w:val="00F621FC"/>
    <w:rsid w:val="00F62FB5"/>
    <w:rsid w:val="00F6328E"/>
    <w:rsid w:val="00F64A80"/>
    <w:rsid w:val="00F6546D"/>
    <w:rsid w:val="00F65E16"/>
    <w:rsid w:val="00F66E57"/>
    <w:rsid w:val="00F7030F"/>
    <w:rsid w:val="00F7045E"/>
    <w:rsid w:val="00F7270F"/>
    <w:rsid w:val="00F72EE8"/>
    <w:rsid w:val="00F739AB"/>
    <w:rsid w:val="00F74BF6"/>
    <w:rsid w:val="00F75216"/>
    <w:rsid w:val="00F756D4"/>
    <w:rsid w:val="00F779DC"/>
    <w:rsid w:val="00F815DE"/>
    <w:rsid w:val="00F81B3B"/>
    <w:rsid w:val="00F81E40"/>
    <w:rsid w:val="00F81F9C"/>
    <w:rsid w:val="00F828CE"/>
    <w:rsid w:val="00F82BAF"/>
    <w:rsid w:val="00F82E8E"/>
    <w:rsid w:val="00F8446A"/>
    <w:rsid w:val="00F84A40"/>
    <w:rsid w:val="00F850EE"/>
    <w:rsid w:val="00F8524A"/>
    <w:rsid w:val="00F856E2"/>
    <w:rsid w:val="00F86324"/>
    <w:rsid w:val="00F870F3"/>
    <w:rsid w:val="00F8717F"/>
    <w:rsid w:val="00F87A91"/>
    <w:rsid w:val="00F87B07"/>
    <w:rsid w:val="00F87D9B"/>
    <w:rsid w:val="00F9065A"/>
    <w:rsid w:val="00F90B1C"/>
    <w:rsid w:val="00F91DC0"/>
    <w:rsid w:val="00F92A42"/>
    <w:rsid w:val="00F92DC2"/>
    <w:rsid w:val="00F92E8F"/>
    <w:rsid w:val="00F92F32"/>
    <w:rsid w:val="00F93207"/>
    <w:rsid w:val="00F93587"/>
    <w:rsid w:val="00F93910"/>
    <w:rsid w:val="00F95AD5"/>
    <w:rsid w:val="00F96E84"/>
    <w:rsid w:val="00F97BD3"/>
    <w:rsid w:val="00F97CC9"/>
    <w:rsid w:val="00FA03BA"/>
    <w:rsid w:val="00FA1476"/>
    <w:rsid w:val="00FA15B7"/>
    <w:rsid w:val="00FA1768"/>
    <w:rsid w:val="00FA1ECF"/>
    <w:rsid w:val="00FA284A"/>
    <w:rsid w:val="00FA34DB"/>
    <w:rsid w:val="00FA4603"/>
    <w:rsid w:val="00FA4F27"/>
    <w:rsid w:val="00FA5E3C"/>
    <w:rsid w:val="00FA64C7"/>
    <w:rsid w:val="00FA652C"/>
    <w:rsid w:val="00FA74D2"/>
    <w:rsid w:val="00FB0D52"/>
    <w:rsid w:val="00FB2456"/>
    <w:rsid w:val="00FB2F0D"/>
    <w:rsid w:val="00FB311F"/>
    <w:rsid w:val="00FB3669"/>
    <w:rsid w:val="00FB4D7F"/>
    <w:rsid w:val="00FB7430"/>
    <w:rsid w:val="00FB7C2D"/>
    <w:rsid w:val="00FC231C"/>
    <w:rsid w:val="00FC2558"/>
    <w:rsid w:val="00FC2715"/>
    <w:rsid w:val="00FC2A94"/>
    <w:rsid w:val="00FC2B48"/>
    <w:rsid w:val="00FC386B"/>
    <w:rsid w:val="00FC3D04"/>
    <w:rsid w:val="00FC41A0"/>
    <w:rsid w:val="00FC52DE"/>
    <w:rsid w:val="00FC5967"/>
    <w:rsid w:val="00FC5C6E"/>
    <w:rsid w:val="00FD02DB"/>
    <w:rsid w:val="00FD126D"/>
    <w:rsid w:val="00FD17DB"/>
    <w:rsid w:val="00FD2187"/>
    <w:rsid w:val="00FD23B6"/>
    <w:rsid w:val="00FD2BA7"/>
    <w:rsid w:val="00FD3730"/>
    <w:rsid w:val="00FD4066"/>
    <w:rsid w:val="00FD4DD3"/>
    <w:rsid w:val="00FD52E6"/>
    <w:rsid w:val="00FD5914"/>
    <w:rsid w:val="00FD6B79"/>
    <w:rsid w:val="00FD710E"/>
    <w:rsid w:val="00FD761D"/>
    <w:rsid w:val="00FD799E"/>
    <w:rsid w:val="00FE033F"/>
    <w:rsid w:val="00FE045D"/>
    <w:rsid w:val="00FE0595"/>
    <w:rsid w:val="00FE1518"/>
    <w:rsid w:val="00FE1FDA"/>
    <w:rsid w:val="00FE2ADE"/>
    <w:rsid w:val="00FE370C"/>
    <w:rsid w:val="00FE3B87"/>
    <w:rsid w:val="00FE4514"/>
    <w:rsid w:val="00FE47DD"/>
    <w:rsid w:val="00FE5169"/>
    <w:rsid w:val="00FE52C8"/>
    <w:rsid w:val="00FE5845"/>
    <w:rsid w:val="00FE5B53"/>
    <w:rsid w:val="00FE6851"/>
    <w:rsid w:val="00FE7B04"/>
    <w:rsid w:val="00FE7E61"/>
    <w:rsid w:val="00FF020F"/>
    <w:rsid w:val="00FF1A0A"/>
    <w:rsid w:val="00FF2392"/>
    <w:rsid w:val="00FF2BFB"/>
    <w:rsid w:val="00FF3958"/>
    <w:rsid w:val="00FF3E7E"/>
    <w:rsid w:val="00FF3FCB"/>
    <w:rsid w:val="00FF40AA"/>
    <w:rsid w:val="00FF4AE6"/>
    <w:rsid w:val="00FF53B1"/>
    <w:rsid w:val="00FF7A3D"/>
    <w:rsid w:val="010B22B0"/>
    <w:rsid w:val="01167EA7"/>
    <w:rsid w:val="012720B8"/>
    <w:rsid w:val="01310BE1"/>
    <w:rsid w:val="01346C1E"/>
    <w:rsid w:val="013A2EF1"/>
    <w:rsid w:val="0156352C"/>
    <w:rsid w:val="016B2D0D"/>
    <w:rsid w:val="017460A8"/>
    <w:rsid w:val="0187136C"/>
    <w:rsid w:val="018D0AC0"/>
    <w:rsid w:val="018D4EC1"/>
    <w:rsid w:val="01A445BF"/>
    <w:rsid w:val="01A52705"/>
    <w:rsid w:val="01B5098A"/>
    <w:rsid w:val="01B666C0"/>
    <w:rsid w:val="01D07F09"/>
    <w:rsid w:val="01D67D25"/>
    <w:rsid w:val="01DA2967"/>
    <w:rsid w:val="01DD59FB"/>
    <w:rsid w:val="01DE1DBF"/>
    <w:rsid w:val="01DF5C17"/>
    <w:rsid w:val="01E50D53"/>
    <w:rsid w:val="01EB77CB"/>
    <w:rsid w:val="01EC5C3E"/>
    <w:rsid w:val="01F7022B"/>
    <w:rsid w:val="02003F94"/>
    <w:rsid w:val="020409F6"/>
    <w:rsid w:val="020531A4"/>
    <w:rsid w:val="020E3875"/>
    <w:rsid w:val="02104022"/>
    <w:rsid w:val="02191FF7"/>
    <w:rsid w:val="02284E61"/>
    <w:rsid w:val="022E72EA"/>
    <w:rsid w:val="02313F99"/>
    <w:rsid w:val="023408FB"/>
    <w:rsid w:val="024750D0"/>
    <w:rsid w:val="024933C3"/>
    <w:rsid w:val="02497D3B"/>
    <w:rsid w:val="025D6B3C"/>
    <w:rsid w:val="028B19C0"/>
    <w:rsid w:val="028E528A"/>
    <w:rsid w:val="029220A4"/>
    <w:rsid w:val="029B7C22"/>
    <w:rsid w:val="029D659E"/>
    <w:rsid w:val="02A746B7"/>
    <w:rsid w:val="02C76447"/>
    <w:rsid w:val="02D8265F"/>
    <w:rsid w:val="02E35293"/>
    <w:rsid w:val="02E66B31"/>
    <w:rsid w:val="02FA70D9"/>
    <w:rsid w:val="02FC45A7"/>
    <w:rsid w:val="031418F0"/>
    <w:rsid w:val="031713E0"/>
    <w:rsid w:val="03204D38"/>
    <w:rsid w:val="03297DA1"/>
    <w:rsid w:val="03332B6C"/>
    <w:rsid w:val="03343D25"/>
    <w:rsid w:val="0337738D"/>
    <w:rsid w:val="034845ED"/>
    <w:rsid w:val="034B6EB5"/>
    <w:rsid w:val="035270B1"/>
    <w:rsid w:val="035D042E"/>
    <w:rsid w:val="036A1510"/>
    <w:rsid w:val="037A401D"/>
    <w:rsid w:val="039449F0"/>
    <w:rsid w:val="03986EFE"/>
    <w:rsid w:val="039B791C"/>
    <w:rsid w:val="039E740C"/>
    <w:rsid w:val="03A551DC"/>
    <w:rsid w:val="03A964DC"/>
    <w:rsid w:val="03BD6808"/>
    <w:rsid w:val="03C2134C"/>
    <w:rsid w:val="03CA4198"/>
    <w:rsid w:val="03CC1F4C"/>
    <w:rsid w:val="03D6502C"/>
    <w:rsid w:val="03DA2C38"/>
    <w:rsid w:val="03E33071"/>
    <w:rsid w:val="03FA5DAC"/>
    <w:rsid w:val="03FC16DB"/>
    <w:rsid w:val="03FC5A1A"/>
    <w:rsid w:val="04021749"/>
    <w:rsid w:val="040729C1"/>
    <w:rsid w:val="040C434B"/>
    <w:rsid w:val="040C7159"/>
    <w:rsid w:val="04124AF6"/>
    <w:rsid w:val="04210C60"/>
    <w:rsid w:val="04237457"/>
    <w:rsid w:val="043438CC"/>
    <w:rsid w:val="043A35D9"/>
    <w:rsid w:val="043C5E11"/>
    <w:rsid w:val="04471044"/>
    <w:rsid w:val="045F4DED"/>
    <w:rsid w:val="046F0BAD"/>
    <w:rsid w:val="047239C9"/>
    <w:rsid w:val="04730898"/>
    <w:rsid w:val="04B37BC1"/>
    <w:rsid w:val="04C20BBC"/>
    <w:rsid w:val="04D31337"/>
    <w:rsid w:val="04F13CF1"/>
    <w:rsid w:val="05047743"/>
    <w:rsid w:val="0509067A"/>
    <w:rsid w:val="050B13BE"/>
    <w:rsid w:val="050D7FCC"/>
    <w:rsid w:val="051C0A8D"/>
    <w:rsid w:val="05290F57"/>
    <w:rsid w:val="05344594"/>
    <w:rsid w:val="053704E2"/>
    <w:rsid w:val="054123C0"/>
    <w:rsid w:val="05500BDA"/>
    <w:rsid w:val="05571F68"/>
    <w:rsid w:val="05604CCD"/>
    <w:rsid w:val="058663AA"/>
    <w:rsid w:val="058D7738"/>
    <w:rsid w:val="05903E35"/>
    <w:rsid w:val="05A36EA4"/>
    <w:rsid w:val="05B06D16"/>
    <w:rsid w:val="05C55124"/>
    <w:rsid w:val="05CD4ABF"/>
    <w:rsid w:val="05D850DF"/>
    <w:rsid w:val="05D94B70"/>
    <w:rsid w:val="060140D2"/>
    <w:rsid w:val="06032B2D"/>
    <w:rsid w:val="06085010"/>
    <w:rsid w:val="0614272E"/>
    <w:rsid w:val="06163BD1"/>
    <w:rsid w:val="06164AB6"/>
    <w:rsid w:val="06185DC2"/>
    <w:rsid w:val="062D0413"/>
    <w:rsid w:val="06357C23"/>
    <w:rsid w:val="06361B7E"/>
    <w:rsid w:val="063861F7"/>
    <w:rsid w:val="063B53E6"/>
    <w:rsid w:val="063D4CBA"/>
    <w:rsid w:val="06420522"/>
    <w:rsid w:val="06526820"/>
    <w:rsid w:val="066F03D1"/>
    <w:rsid w:val="06757F83"/>
    <w:rsid w:val="06862B05"/>
    <w:rsid w:val="06D10EDE"/>
    <w:rsid w:val="06D73361"/>
    <w:rsid w:val="06DA69AD"/>
    <w:rsid w:val="06FA07F2"/>
    <w:rsid w:val="07041C7C"/>
    <w:rsid w:val="07091040"/>
    <w:rsid w:val="07266DDD"/>
    <w:rsid w:val="0729295A"/>
    <w:rsid w:val="07330CB9"/>
    <w:rsid w:val="074A1329"/>
    <w:rsid w:val="07500A1D"/>
    <w:rsid w:val="075E313A"/>
    <w:rsid w:val="076F5347"/>
    <w:rsid w:val="07715A93"/>
    <w:rsid w:val="077503FB"/>
    <w:rsid w:val="07781D2D"/>
    <w:rsid w:val="078077AC"/>
    <w:rsid w:val="0781207D"/>
    <w:rsid w:val="079B1D7A"/>
    <w:rsid w:val="079D6253"/>
    <w:rsid w:val="07A00928"/>
    <w:rsid w:val="07B32A55"/>
    <w:rsid w:val="07CC279A"/>
    <w:rsid w:val="07DC2F2A"/>
    <w:rsid w:val="07E06245"/>
    <w:rsid w:val="07EF46DA"/>
    <w:rsid w:val="07F86735"/>
    <w:rsid w:val="08012539"/>
    <w:rsid w:val="080D7549"/>
    <w:rsid w:val="084367D4"/>
    <w:rsid w:val="084B6440"/>
    <w:rsid w:val="0854453D"/>
    <w:rsid w:val="085F4655"/>
    <w:rsid w:val="086545D9"/>
    <w:rsid w:val="087C7E39"/>
    <w:rsid w:val="08874502"/>
    <w:rsid w:val="0889068B"/>
    <w:rsid w:val="089808CE"/>
    <w:rsid w:val="08A47102"/>
    <w:rsid w:val="08A50245"/>
    <w:rsid w:val="08A6123D"/>
    <w:rsid w:val="08B701B6"/>
    <w:rsid w:val="08C10CCF"/>
    <w:rsid w:val="08D13FE5"/>
    <w:rsid w:val="08DF1782"/>
    <w:rsid w:val="08E231CD"/>
    <w:rsid w:val="08F5714E"/>
    <w:rsid w:val="08FB2C0B"/>
    <w:rsid w:val="08FC437F"/>
    <w:rsid w:val="09015651"/>
    <w:rsid w:val="090441B5"/>
    <w:rsid w:val="090708A4"/>
    <w:rsid w:val="090E13FF"/>
    <w:rsid w:val="093A208D"/>
    <w:rsid w:val="09442A53"/>
    <w:rsid w:val="094513AA"/>
    <w:rsid w:val="095F3D5B"/>
    <w:rsid w:val="096672A3"/>
    <w:rsid w:val="09667F40"/>
    <w:rsid w:val="096E7880"/>
    <w:rsid w:val="09745BCD"/>
    <w:rsid w:val="09840300"/>
    <w:rsid w:val="09842C00"/>
    <w:rsid w:val="098C707D"/>
    <w:rsid w:val="098D7D07"/>
    <w:rsid w:val="09984D9A"/>
    <w:rsid w:val="099C43EE"/>
    <w:rsid w:val="09A341A7"/>
    <w:rsid w:val="09AB34FA"/>
    <w:rsid w:val="09AB6144"/>
    <w:rsid w:val="09B05932"/>
    <w:rsid w:val="09C000DC"/>
    <w:rsid w:val="09C05B2B"/>
    <w:rsid w:val="09C538B4"/>
    <w:rsid w:val="09DC66EC"/>
    <w:rsid w:val="0A076B46"/>
    <w:rsid w:val="0A15156D"/>
    <w:rsid w:val="0A2F7010"/>
    <w:rsid w:val="0A3208AE"/>
    <w:rsid w:val="0A3C76DA"/>
    <w:rsid w:val="0A5253DE"/>
    <w:rsid w:val="0A576ABB"/>
    <w:rsid w:val="0A604CFA"/>
    <w:rsid w:val="0A6314C2"/>
    <w:rsid w:val="0A921ACA"/>
    <w:rsid w:val="0A9D21CB"/>
    <w:rsid w:val="0A9E35BA"/>
    <w:rsid w:val="0A9F4195"/>
    <w:rsid w:val="0AA23C86"/>
    <w:rsid w:val="0AA272BA"/>
    <w:rsid w:val="0AC0410C"/>
    <w:rsid w:val="0ACF523E"/>
    <w:rsid w:val="0ACF7F12"/>
    <w:rsid w:val="0ADE6155"/>
    <w:rsid w:val="0AE01207"/>
    <w:rsid w:val="0AE92EA4"/>
    <w:rsid w:val="0AF50259"/>
    <w:rsid w:val="0B044F32"/>
    <w:rsid w:val="0B075B82"/>
    <w:rsid w:val="0B1D330C"/>
    <w:rsid w:val="0B1F52D6"/>
    <w:rsid w:val="0B293A5F"/>
    <w:rsid w:val="0B367164"/>
    <w:rsid w:val="0B4016A9"/>
    <w:rsid w:val="0B494416"/>
    <w:rsid w:val="0B61312B"/>
    <w:rsid w:val="0B85530F"/>
    <w:rsid w:val="0B9913CE"/>
    <w:rsid w:val="0BA22DC3"/>
    <w:rsid w:val="0BA56CBF"/>
    <w:rsid w:val="0BAB4717"/>
    <w:rsid w:val="0BB7276C"/>
    <w:rsid w:val="0BD01B70"/>
    <w:rsid w:val="0BDA5196"/>
    <w:rsid w:val="0BDF6813"/>
    <w:rsid w:val="0BF70001"/>
    <w:rsid w:val="0C087E99"/>
    <w:rsid w:val="0C1824CA"/>
    <w:rsid w:val="0C262243"/>
    <w:rsid w:val="0C2801BA"/>
    <w:rsid w:val="0C2F779B"/>
    <w:rsid w:val="0C30137F"/>
    <w:rsid w:val="0C351C9D"/>
    <w:rsid w:val="0C5A35E1"/>
    <w:rsid w:val="0C61578D"/>
    <w:rsid w:val="0C6558D4"/>
    <w:rsid w:val="0C664B78"/>
    <w:rsid w:val="0C725F4D"/>
    <w:rsid w:val="0C744482"/>
    <w:rsid w:val="0C7451AE"/>
    <w:rsid w:val="0C8E2259"/>
    <w:rsid w:val="0C8F5D9E"/>
    <w:rsid w:val="0CA75583"/>
    <w:rsid w:val="0CB437FC"/>
    <w:rsid w:val="0CB97065"/>
    <w:rsid w:val="0CBC5483"/>
    <w:rsid w:val="0CC16524"/>
    <w:rsid w:val="0CCB23AD"/>
    <w:rsid w:val="0CD22280"/>
    <w:rsid w:val="0CD345CA"/>
    <w:rsid w:val="0CD520F0"/>
    <w:rsid w:val="0CE06CE8"/>
    <w:rsid w:val="0CE46998"/>
    <w:rsid w:val="0CEA6984"/>
    <w:rsid w:val="0CF50ECE"/>
    <w:rsid w:val="0D026C1D"/>
    <w:rsid w:val="0D044784"/>
    <w:rsid w:val="0D0D4921"/>
    <w:rsid w:val="0D0E115E"/>
    <w:rsid w:val="0D166FB7"/>
    <w:rsid w:val="0D1D2428"/>
    <w:rsid w:val="0D2163BC"/>
    <w:rsid w:val="0D2546FA"/>
    <w:rsid w:val="0D31309F"/>
    <w:rsid w:val="0D454F03"/>
    <w:rsid w:val="0D474670"/>
    <w:rsid w:val="0D502575"/>
    <w:rsid w:val="0D595949"/>
    <w:rsid w:val="0D5E6020"/>
    <w:rsid w:val="0D5F7025"/>
    <w:rsid w:val="0D621906"/>
    <w:rsid w:val="0D7822CB"/>
    <w:rsid w:val="0D892EDB"/>
    <w:rsid w:val="0D9003DE"/>
    <w:rsid w:val="0D9D380C"/>
    <w:rsid w:val="0D9F26FE"/>
    <w:rsid w:val="0DA25D4B"/>
    <w:rsid w:val="0DAD6BC9"/>
    <w:rsid w:val="0DAE298D"/>
    <w:rsid w:val="0DB00467"/>
    <w:rsid w:val="0DB2605F"/>
    <w:rsid w:val="0DC108C7"/>
    <w:rsid w:val="0DC2532A"/>
    <w:rsid w:val="0DC75E73"/>
    <w:rsid w:val="0DCF1B84"/>
    <w:rsid w:val="0DD007EB"/>
    <w:rsid w:val="0DD71E1A"/>
    <w:rsid w:val="0DDA3736"/>
    <w:rsid w:val="0DE43875"/>
    <w:rsid w:val="0DF46805"/>
    <w:rsid w:val="0DF62754"/>
    <w:rsid w:val="0DFF20AE"/>
    <w:rsid w:val="0E154FCB"/>
    <w:rsid w:val="0E342E47"/>
    <w:rsid w:val="0E464555"/>
    <w:rsid w:val="0E4A4418"/>
    <w:rsid w:val="0E501186"/>
    <w:rsid w:val="0E616E5A"/>
    <w:rsid w:val="0E772F47"/>
    <w:rsid w:val="0E8B672B"/>
    <w:rsid w:val="0E9D091C"/>
    <w:rsid w:val="0EA8119D"/>
    <w:rsid w:val="0ECC5016"/>
    <w:rsid w:val="0EE06B2A"/>
    <w:rsid w:val="0EEA1255"/>
    <w:rsid w:val="0F026AA1"/>
    <w:rsid w:val="0F0547E3"/>
    <w:rsid w:val="0F055977"/>
    <w:rsid w:val="0F0A287E"/>
    <w:rsid w:val="0F0D38E4"/>
    <w:rsid w:val="0F16079E"/>
    <w:rsid w:val="0F26030F"/>
    <w:rsid w:val="0F280A15"/>
    <w:rsid w:val="0F2A424A"/>
    <w:rsid w:val="0F2A6A20"/>
    <w:rsid w:val="0F307AB2"/>
    <w:rsid w:val="0F39623B"/>
    <w:rsid w:val="0F4A3C2D"/>
    <w:rsid w:val="0F563291"/>
    <w:rsid w:val="0F7F35B9"/>
    <w:rsid w:val="0F851480"/>
    <w:rsid w:val="0F890FD4"/>
    <w:rsid w:val="0F942142"/>
    <w:rsid w:val="0FA12447"/>
    <w:rsid w:val="0FA23A96"/>
    <w:rsid w:val="0FCE0E92"/>
    <w:rsid w:val="0FD61CDB"/>
    <w:rsid w:val="0FD73A81"/>
    <w:rsid w:val="0FD764CC"/>
    <w:rsid w:val="0FD87B99"/>
    <w:rsid w:val="0FD97D81"/>
    <w:rsid w:val="0FE20680"/>
    <w:rsid w:val="0FF00FEF"/>
    <w:rsid w:val="0FF67F42"/>
    <w:rsid w:val="0FF93F4D"/>
    <w:rsid w:val="101C0460"/>
    <w:rsid w:val="10240835"/>
    <w:rsid w:val="1025513D"/>
    <w:rsid w:val="102C4A38"/>
    <w:rsid w:val="102D5D9F"/>
    <w:rsid w:val="10401B68"/>
    <w:rsid w:val="105300C1"/>
    <w:rsid w:val="10572BB3"/>
    <w:rsid w:val="1065378B"/>
    <w:rsid w:val="107249DD"/>
    <w:rsid w:val="10812A5E"/>
    <w:rsid w:val="10846560"/>
    <w:rsid w:val="108E0AA6"/>
    <w:rsid w:val="108F0808"/>
    <w:rsid w:val="1097590F"/>
    <w:rsid w:val="10AA3894"/>
    <w:rsid w:val="10B817C6"/>
    <w:rsid w:val="10BD5C30"/>
    <w:rsid w:val="10C860F3"/>
    <w:rsid w:val="10D40911"/>
    <w:rsid w:val="10D548AF"/>
    <w:rsid w:val="10D604F0"/>
    <w:rsid w:val="10D668A6"/>
    <w:rsid w:val="10E32514"/>
    <w:rsid w:val="10E70644"/>
    <w:rsid w:val="10E97DFE"/>
    <w:rsid w:val="10FE14EA"/>
    <w:rsid w:val="1116219C"/>
    <w:rsid w:val="111955FB"/>
    <w:rsid w:val="111A205C"/>
    <w:rsid w:val="111B54DB"/>
    <w:rsid w:val="112F2EA9"/>
    <w:rsid w:val="115260DD"/>
    <w:rsid w:val="11551A52"/>
    <w:rsid w:val="11561321"/>
    <w:rsid w:val="115D3FD5"/>
    <w:rsid w:val="11673533"/>
    <w:rsid w:val="117D68B3"/>
    <w:rsid w:val="118B002B"/>
    <w:rsid w:val="119A3908"/>
    <w:rsid w:val="119F0F1F"/>
    <w:rsid w:val="11A21BD0"/>
    <w:rsid w:val="11B01B9F"/>
    <w:rsid w:val="11BB73DB"/>
    <w:rsid w:val="11BE2137"/>
    <w:rsid w:val="11C54D60"/>
    <w:rsid w:val="11C95F9C"/>
    <w:rsid w:val="11D1137F"/>
    <w:rsid w:val="11D42AC0"/>
    <w:rsid w:val="11E70A96"/>
    <w:rsid w:val="11EE5A02"/>
    <w:rsid w:val="11F8062F"/>
    <w:rsid w:val="11FB6116"/>
    <w:rsid w:val="1202325C"/>
    <w:rsid w:val="12087094"/>
    <w:rsid w:val="1209035C"/>
    <w:rsid w:val="12192A7F"/>
    <w:rsid w:val="12266F4A"/>
    <w:rsid w:val="1231133B"/>
    <w:rsid w:val="12404237"/>
    <w:rsid w:val="12441691"/>
    <w:rsid w:val="1254749D"/>
    <w:rsid w:val="125B0239"/>
    <w:rsid w:val="12690A60"/>
    <w:rsid w:val="126B5015"/>
    <w:rsid w:val="127557DC"/>
    <w:rsid w:val="12850F72"/>
    <w:rsid w:val="12851EC3"/>
    <w:rsid w:val="129E2F84"/>
    <w:rsid w:val="12B04CCD"/>
    <w:rsid w:val="12B239F2"/>
    <w:rsid w:val="12B25088"/>
    <w:rsid w:val="12C05BD9"/>
    <w:rsid w:val="12CA5B28"/>
    <w:rsid w:val="12CC1F39"/>
    <w:rsid w:val="12CC371E"/>
    <w:rsid w:val="12CE460B"/>
    <w:rsid w:val="12DA3310"/>
    <w:rsid w:val="12E0359D"/>
    <w:rsid w:val="12E04A49"/>
    <w:rsid w:val="12EB1A0C"/>
    <w:rsid w:val="12ED414D"/>
    <w:rsid w:val="12FA3773"/>
    <w:rsid w:val="13013A9E"/>
    <w:rsid w:val="130B7EEE"/>
    <w:rsid w:val="130C6140"/>
    <w:rsid w:val="130D0DD0"/>
    <w:rsid w:val="13281DD8"/>
    <w:rsid w:val="133525A0"/>
    <w:rsid w:val="134B4573"/>
    <w:rsid w:val="13511DA5"/>
    <w:rsid w:val="13566FC3"/>
    <w:rsid w:val="137E7A43"/>
    <w:rsid w:val="138E124B"/>
    <w:rsid w:val="13991A0A"/>
    <w:rsid w:val="139C47A2"/>
    <w:rsid w:val="13A37AFB"/>
    <w:rsid w:val="13B80076"/>
    <w:rsid w:val="13B946E4"/>
    <w:rsid w:val="13C44C6D"/>
    <w:rsid w:val="13C64AB4"/>
    <w:rsid w:val="13CC6536"/>
    <w:rsid w:val="13DE20F5"/>
    <w:rsid w:val="13E1007B"/>
    <w:rsid w:val="13FF0128"/>
    <w:rsid w:val="141C0DCA"/>
    <w:rsid w:val="142B080A"/>
    <w:rsid w:val="142E39D1"/>
    <w:rsid w:val="143376FC"/>
    <w:rsid w:val="143623D2"/>
    <w:rsid w:val="143D731A"/>
    <w:rsid w:val="144312BD"/>
    <w:rsid w:val="1447665B"/>
    <w:rsid w:val="145061F0"/>
    <w:rsid w:val="145F20C7"/>
    <w:rsid w:val="146354B5"/>
    <w:rsid w:val="14810824"/>
    <w:rsid w:val="14863CD0"/>
    <w:rsid w:val="148A79F3"/>
    <w:rsid w:val="14904B4F"/>
    <w:rsid w:val="14926B19"/>
    <w:rsid w:val="149617CC"/>
    <w:rsid w:val="149C4528"/>
    <w:rsid w:val="149E53F3"/>
    <w:rsid w:val="14AD3953"/>
    <w:rsid w:val="14B059D5"/>
    <w:rsid w:val="14B44CE1"/>
    <w:rsid w:val="14BF0914"/>
    <w:rsid w:val="14BF71E2"/>
    <w:rsid w:val="14D15B1F"/>
    <w:rsid w:val="14DF3FA4"/>
    <w:rsid w:val="151908E6"/>
    <w:rsid w:val="151B71F4"/>
    <w:rsid w:val="151C0E03"/>
    <w:rsid w:val="152139F9"/>
    <w:rsid w:val="15264D8E"/>
    <w:rsid w:val="15273705"/>
    <w:rsid w:val="152D1520"/>
    <w:rsid w:val="1534637D"/>
    <w:rsid w:val="15400323"/>
    <w:rsid w:val="15597DCE"/>
    <w:rsid w:val="155C407D"/>
    <w:rsid w:val="15686C40"/>
    <w:rsid w:val="157B110B"/>
    <w:rsid w:val="159B54F9"/>
    <w:rsid w:val="159D39C7"/>
    <w:rsid w:val="15C14092"/>
    <w:rsid w:val="15C85B9D"/>
    <w:rsid w:val="15C95A0C"/>
    <w:rsid w:val="15DA2525"/>
    <w:rsid w:val="15E01D5F"/>
    <w:rsid w:val="15E2587E"/>
    <w:rsid w:val="15F829AC"/>
    <w:rsid w:val="160466F8"/>
    <w:rsid w:val="160B022B"/>
    <w:rsid w:val="1613344D"/>
    <w:rsid w:val="161654BE"/>
    <w:rsid w:val="162A23AE"/>
    <w:rsid w:val="16387561"/>
    <w:rsid w:val="16447032"/>
    <w:rsid w:val="16464421"/>
    <w:rsid w:val="164662AA"/>
    <w:rsid w:val="1647748F"/>
    <w:rsid w:val="164C50D1"/>
    <w:rsid w:val="165423AD"/>
    <w:rsid w:val="16587AC8"/>
    <w:rsid w:val="167133C0"/>
    <w:rsid w:val="167209B0"/>
    <w:rsid w:val="16746CEB"/>
    <w:rsid w:val="168B1A72"/>
    <w:rsid w:val="16A65856"/>
    <w:rsid w:val="16A906B4"/>
    <w:rsid w:val="16A96E58"/>
    <w:rsid w:val="16B20DAC"/>
    <w:rsid w:val="16B26DDE"/>
    <w:rsid w:val="16BB2398"/>
    <w:rsid w:val="16C07CD7"/>
    <w:rsid w:val="16C1586B"/>
    <w:rsid w:val="16CD78FF"/>
    <w:rsid w:val="16D0459E"/>
    <w:rsid w:val="16DA0303"/>
    <w:rsid w:val="16E55626"/>
    <w:rsid w:val="16F07B27"/>
    <w:rsid w:val="16F96F9E"/>
    <w:rsid w:val="16FA5F36"/>
    <w:rsid w:val="17046771"/>
    <w:rsid w:val="170D682B"/>
    <w:rsid w:val="17187D20"/>
    <w:rsid w:val="172A128B"/>
    <w:rsid w:val="17437A32"/>
    <w:rsid w:val="17454487"/>
    <w:rsid w:val="17514A69"/>
    <w:rsid w:val="175E2CE2"/>
    <w:rsid w:val="176C0E94"/>
    <w:rsid w:val="177B5642"/>
    <w:rsid w:val="178B0334"/>
    <w:rsid w:val="17936B69"/>
    <w:rsid w:val="17970FF3"/>
    <w:rsid w:val="17A50911"/>
    <w:rsid w:val="17C0399D"/>
    <w:rsid w:val="17E3111F"/>
    <w:rsid w:val="17E472DA"/>
    <w:rsid w:val="17F92515"/>
    <w:rsid w:val="18047FB3"/>
    <w:rsid w:val="180B3BFE"/>
    <w:rsid w:val="180B5AAC"/>
    <w:rsid w:val="18117D55"/>
    <w:rsid w:val="18153CE9"/>
    <w:rsid w:val="18205888"/>
    <w:rsid w:val="182B217A"/>
    <w:rsid w:val="182D0DF6"/>
    <w:rsid w:val="18305897"/>
    <w:rsid w:val="183200C1"/>
    <w:rsid w:val="1835515B"/>
    <w:rsid w:val="18431AE8"/>
    <w:rsid w:val="18463EA2"/>
    <w:rsid w:val="18645AAB"/>
    <w:rsid w:val="186D58D3"/>
    <w:rsid w:val="18701E32"/>
    <w:rsid w:val="18782688"/>
    <w:rsid w:val="187C78C4"/>
    <w:rsid w:val="1884284A"/>
    <w:rsid w:val="188B569A"/>
    <w:rsid w:val="188D0EB0"/>
    <w:rsid w:val="189011E6"/>
    <w:rsid w:val="18934C0E"/>
    <w:rsid w:val="18C179CD"/>
    <w:rsid w:val="18C76A92"/>
    <w:rsid w:val="18D97FF0"/>
    <w:rsid w:val="18E67178"/>
    <w:rsid w:val="18E67433"/>
    <w:rsid w:val="18F356AC"/>
    <w:rsid w:val="18F953B8"/>
    <w:rsid w:val="18FA3A75"/>
    <w:rsid w:val="19083BDB"/>
    <w:rsid w:val="19147620"/>
    <w:rsid w:val="192D0BBE"/>
    <w:rsid w:val="19314B52"/>
    <w:rsid w:val="1935078A"/>
    <w:rsid w:val="19371212"/>
    <w:rsid w:val="193E101D"/>
    <w:rsid w:val="19455539"/>
    <w:rsid w:val="194E02CF"/>
    <w:rsid w:val="19525006"/>
    <w:rsid w:val="19561CB6"/>
    <w:rsid w:val="195827E7"/>
    <w:rsid w:val="195C0AF3"/>
    <w:rsid w:val="198B3B37"/>
    <w:rsid w:val="19A132C1"/>
    <w:rsid w:val="19A5109C"/>
    <w:rsid w:val="19AE1B0C"/>
    <w:rsid w:val="19B566CF"/>
    <w:rsid w:val="19BE2330"/>
    <w:rsid w:val="19C27113"/>
    <w:rsid w:val="19C37774"/>
    <w:rsid w:val="19CC6629"/>
    <w:rsid w:val="19D9724D"/>
    <w:rsid w:val="1A1068A4"/>
    <w:rsid w:val="1A164968"/>
    <w:rsid w:val="1A1E49AB"/>
    <w:rsid w:val="1A2923DE"/>
    <w:rsid w:val="1A3911B5"/>
    <w:rsid w:val="1A3B37AF"/>
    <w:rsid w:val="1A404921"/>
    <w:rsid w:val="1A4365A0"/>
    <w:rsid w:val="1A4C1B8D"/>
    <w:rsid w:val="1A4C59BC"/>
    <w:rsid w:val="1A5959E3"/>
    <w:rsid w:val="1A606D71"/>
    <w:rsid w:val="1A620D3B"/>
    <w:rsid w:val="1A654B88"/>
    <w:rsid w:val="1A6A7BF0"/>
    <w:rsid w:val="1A7821AD"/>
    <w:rsid w:val="1A7F7F57"/>
    <w:rsid w:val="1A831BA6"/>
    <w:rsid w:val="1A9A1B4D"/>
    <w:rsid w:val="1A9A237A"/>
    <w:rsid w:val="1AAB623F"/>
    <w:rsid w:val="1AB941C3"/>
    <w:rsid w:val="1AC63803"/>
    <w:rsid w:val="1AC879D4"/>
    <w:rsid w:val="1AE300B4"/>
    <w:rsid w:val="1AE6196C"/>
    <w:rsid w:val="1AF16515"/>
    <w:rsid w:val="1AF23E6D"/>
    <w:rsid w:val="1AF422B0"/>
    <w:rsid w:val="1B144C4F"/>
    <w:rsid w:val="1B1D5607"/>
    <w:rsid w:val="1B1F09DB"/>
    <w:rsid w:val="1B294B1A"/>
    <w:rsid w:val="1B2B1202"/>
    <w:rsid w:val="1B2F50C2"/>
    <w:rsid w:val="1B410951"/>
    <w:rsid w:val="1B4B2737"/>
    <w:rsid w:val="1B5073A1"/>
    <w:rsid w:val="1B6222D6"/>
    <w:rsid w:val="1B6D1746"/>
    <w:rsid w:val="1B7014DB"/>
    <w:rsid w:val="1B814BA3"/>
    <w:rsid w:val="1B827FF7"/>
    <w:rsid w:val="1B855D2A"/>
    <w:rsid w:val="1B89014D"/>
    <w:rsid w:val="1B913A2C"/>
    <w:rsid w:val="1B933A5B"/>
    <w:rsid w:val="1B984C5D"/>
    <w:rsid w:val="1B9C7BA1"/>
    <w:rsid w:val="1BCC6C0A"/>
    <w:rsid w:val="1BD06A95"/>
    <w:rsid w:val="1BD45A19"/>
    <w:rsid w:val="1BE6626A"/>
    <w:rsid w:val="1BE953DC"/>
    <w:rsid w:val="1BF0047E"/>
    <w:rsid w:val="1BF64C65"/>
    <w:rsid w:val="1BFC09D9"/>
    <w:rsid w:val="1BFC6D50"/>
    <w:rsid w:val="1C006A5E"/>
    <w:rsid w:val="1C1509AE"/>
    <w:rsid w:val="1C184369"/>
    <w:rsid w:val="1C33079A"/>
    <w:rsid w:val="1C5055DC"/>
    <w:rsid w:val="1C622758"/>
    <w:rsid w:val="1C6A3ED7"/>
    <w:rsid w:val="1C6C216D"/>
    <w:rsid w:val="1C752FA8"/>
    <w:rsid w:val="1C765D21"/>
    <w:rsid w:val="1C817B9F"/>
    <w:rsid w:val="1C870D68"/>
    <w:rsid w:val="1C881698"/>
    <w:rsid w:val="1C896FD6"/>
    <w:rsid w:val="1C986C96"/>
    <w:rsid w:val="1C9B5611"/>
    <w:rsid w:val="1C9D5506"/>
    <w:rsid w:val="1CA05A7F"/>
    <w:rsid w:val="1CA32951"/>
    <w:rsid w:val="1CAD765E"/>
    <w:rsid w:val="1CB11B06"/>
    <w:rsid w:val="1CB46CF3"/>
    <w:rsid w:val="1CBB0CB0"/>
    <w:rsid w:val="1CC85347"/>
    <w:rsid w:val="1CC932F4"/>
    <w:rsid w:val="1CCC00A8"/>
    <w:rsid w:val="1CCF3FBA"/>
    <w:rsid w:val="1CD347F0"/>
    <w:rsid w:val="1CEA6DE4"/>
    <w:rsid w:val="1CEC2B3E"/>
    <w:rsid w:val="1CF90E81"/>
    <w:rsid w:val="1CFA525B"/>
    <w:rsid w:val="1CFF6D16"/>
    <w:rsid w:val="1D060415"/>
    <w:rsid w:val="1D0C2F00"/>
    <w:rsid w:val="1D222970"/>
    <w:rsid w:val="1D2437A4"/>
    <w:rsid w:val="1D2F75FB"/>
    <w:rsid w:val="1D303373"/>
    <w:rsid w:val="1D3E6325"/>
    <w:rsid w:val="1D402700"/>
    <w:rsid w:val="1D41732E"/>
    <w:rsid w:val="1D423F69"/>
    <w:rsid w:val="1D4E4190"/>
    <w:rsid w:val="1D5A251C"/>
    <w:rsid w:val="1D631052"/>
    <w:rsid w:val="1D7F7F34"/>
    <w:rsid w:val="1D83248B"/>
    <w:rsid w:val="1D84721B"/>
    <w:rsid w:val="1D94027C"/>
    <w:rsid w:val="1DA5166B"/>
    <w:rsid w:val="1DA71C47"/>
    <w:rsid w:val="1DAC039B"/>
    <w:rsid w:val="1DAD20C9"/>
    <w:rsid w:val="1DBD5B2E"/>
    <w:rsid w:val="1DBE0F7B"/>
    <w:rsid w:val="1DBE44DB"/>
    <w:rsid w:val="1DCF66E8"/>
    <w:rsid w:val="1DDB0953"/>
    <w:rsid w:val="1DF0665E"/>
    <w:rsid w:val="1E084C36"/>
    <w:rsid w:val="1E0C2E91"/>
    <w:rsid w:val="1E1F5DBD"/>
    <w:rsid w:val="1E256308"/>
    <w:rsid w:val="1E2564CB"/>
    <w:rsid w:val="1E29337D"/>
    <w:rsid w:val="1E3C12EA"/>
    <w:rsid w:val="1E4829FE"/>
    <w:rsid w:val="1E4B50FC"/>
    <w:rsid w:val="1E605592"/>
    <w:rsid w:val="1E62755C"/>
    <w:rsid w:val="1E654B38"/>
    <w:rsid w:val="1E6B55FB"/>
    <w:rsid w:val="1E6F1C79"/>
    <w:rsid w:val="1E7D5E1E"/>
    <w:rsid w:val="1E8711BD"/>
    <w:rsid w:val="1E8E0351"/>
    <w:rsid w:val="1E9C521C"/>
    <w:rsid w:val="1E9E47AF"/>
    <w:rsid w:val="1EAB185E"/>
    <w:rsid w:val="1EAB3387"/>
    <w:rsid w:val="1EAC6902"/>
    <w:rsid w:val="1EB534A7"/>
    <w:rsid w:val="1EB661F5"/>
    <w:rsid w:val="1EB67842"/>
    <w:rsid w:val="1EC15BF7"/>
    <w:rsid w:val="1EC8613F"/>
    <w:rsid w:val="1ECA5FEF"/>
    <w:rsid w:val="1EDD1F27"/>
    <w:rsid w:val="1F0869EA"/>
    <w:rsid w:val="1F0A08B1"/>
    <w:rsid w:val="1F1A1802"/>
    <w:rsid w:val="1F303139"/>
    <w:rsid w:val="1F454F18"/>
    <w:rsid w:val="1F565672"/>
    <w:rsid w:val="1F675528"/>
    <w:rsid w:val="1F6D49F4"/>
    <w:rsid w:val="1F6D797E"/>
    <w:rsid w:val="1F775289"/>
    <w:rsid w:val="1F852325"/>
    <w:rsid w:val="1F884DA0"/>
    <w:rsid w:val="1F89131B"/>
    <w:rsid w:val="1F94779B"/>
    <w:rsid w:val="1F953961"/>
    <w:rsid w:val="1F9D6372"/>
    <w:rsid w:val="1FA95BE5"/>
    <w:rsid w:val="1FAA5E07"/>
    <w:rsid w:val="1FAB6CE1"/>
    <w:rsid w:val="1FB97650"/>
    <w:rsid w:val="1FC57DA2"/>
    <w:rsid w:val="1FD77AD6"/>
    <w:rsid w:val="1FD836B7"/>
    <w:rsid w:val="1FF16DE9"/>
    <w:rsid w:val="20051EB3"/>
    <w:rsid w:val="201F1A70"/>
    <w:rsid w:val="20233E75"/>
    <w:rsid w:val="202820DF"/>
    <w:rsid w:val="202B7FBC"/>
    <w:rsid w:val="202D77FC"/>
    <w:rsid w:val="20317408"/>
    <w:rsid w:val="20427ED8"/>
    <w:rsid w:val="205B635F"/>
    <w:rsid w:val="20644423"/>
    <w:rsid w:val="20783067"/>
    <w:rsid w:val="207F131D"/>
    <w:rsid w:val="20833BCE"/>
    <w:rsid w:val="209F67B0"/>
    <w:rsid w:val="20A551ED"/>
    <w:rsid w:val="20B816B5"/>
    <w:rsid w:val="20B90F6C"/>
    <w:rsid w:val="20BE0E8D"/>
    <w:rsid w:val="20C462AC"/>
    <w:rsid w:val="20D21244"/>
    <w:rsid w:val="20D52267"/>
    <w:rsid w:val="20D9162C"/>
    <w:rsid w:val="20EE6304"/>
    <w:rsid w:val="20EF2BFD"/>
    <w:rsid w:val="210112AE"/>
    <w:rsid w:val="2102713C"/>
    <w:rsid w:val="211629F1"/>
    <w:rsid w:val="21187499"/>
    <w:rsid w:val="211F7986"/>
    <w:rsid w:val="21262EA6"/>
    <w:rsid w:val="21333432"/>
    <w:rsid w:val="213442E2"/>
    <w:rsid w:val="213B06DA"/>
    <w:rsid w:val="21407524"/>
    <w:rsid w:val="2149055F"/>
    <w:rsid w:val="215539A0"/>
    <w:rsid w:val="21577120"/>
    <w:rsid w:val="215C2D90"/>
    <w:rsid w:val="216D06F2"/>
    <w:rsid w:val="21745049"/>
    <w:rsid w:val="218B501C"/>
    <w:rsid w:val="21914927"/>
    <w:rsid w:val="21A460DD"/>
    <w:rsid w:val="21B64DA0"/>
    <w:rsid w:val="21B64E39"/>
    <w:rsid w:val="21C60D5C"/>
    <w:rsid w:val="21D50045"/>
    <w:rsid w:val="21DD540A"/>
    <w:rsid w:val="21ED7DE9"/>
    <w:rsid w:val="21F029BC"/>
    <w:rsid w:val="21F63BE1"/>
    <w:rsid w:val="22066450"/>
    <w:rsid w:val="2211485C"/>
    <w:rsid w:val="221214B5"/>
    <w:rsid w:val="221B61BB"/>
    <w:rsid w:val="222D7360"/>
    <w:rsid w:val="2245685A"/>
    <w:rsid w:val="22524F02"/>
    <w:rsid w:val="225A37DA"/>
    <w:rsid w:val="226200C0"/>
    <w:rsid w:val="227623A2"/>
    <w:rsid w:val="227D6FF7"/>
    <w:rsid w:val="22880F18"/>
    <w:rsid w:val="22B934C3"/>
    <w:rsid w:val="22E47095"/>
    <w:rsid w:val="22F75A11"/>
    <w:rsid w:val="22FE5379"/>
    <w:rsid w:val="231150AD"/>
    <w:rsid w:val="23155FDF"/>
    <w:rsid w:val="23241F3A"/>
    <w:rsid w:val="2329001C"/>
    <w:rsid w:val="234E5318"/>
    <w:rsid w:val="2351194D"/>
    <w:rsid w:val="235B6A0B"/>
    <w:rsid w:val="23675615"/>
    <w:rsid w:val="236E1111"/>
    <w:rsid w:val="237F400A"/>
    <w:rsid w:val="23977CA8"/>
    <w:rsid w:val="239B5A7F"/>
    <w:rsid w:val="23A675DA"/>
    <w:rsid w:val="23A90302"/>
    <w:rsid w:val="23BD47E8"/>
    <w:rsid w:val="23C162F1"/>
    <w:rsid w:val="23C16AD3"/>
    <w:rsid w:val="23C71C0F"/>
    <w:rsid w:val="23D930C6"/>
    <w:rsid w:val="23E0672D"/>
    <w:rsid w:val="23E427C1"/>
    <w:rsid w:val="23FA3D93"/>
    <w:rsid w:val="24051D3E"/>
    <w:rsid w:val="240B0D90"/>
    <w:rsid w:val="24116959"/>
    <w:rsid w:val="241430A6"/>
    <w:rsid w:val="241E3F25"/>
    <w:rsid w:val="24215313"/>
    <w:rsid w:val="242764F0"/>
    <w:rsid w:val="2432177F"/>
    <w:rsid w:val="243503FF"/>
    <w:rsid w:val="243E40C9"/>
    <w:rsid w:val="2462293A"/>
    <w:rsid w:val="24833D88"/>
    <w:rsid w:val="248427EA"/>
    <w:rsid w:val="24847634"/>
    <w:rsid w:val="24902112"/>
    <w:rsid w:val="2498247E"/>
    <w:rsid w:val="249C557D"/>
    <w:rsid w:val="24A24B56"/>
    <w:rsid w:val="24A7154A"/>
    <w:rsid w:val="24AC7783"/>
    <w:rsid w:val="24AD7099"/>
    <w:rsid w:val="24B21125"/>
    <w:rsid w:val="24BF4F6C"/>
    <w:rsid w:val="24C02B09"/>
    <w:rsid w:val="24D2735C"/>
    <w:rsid w:val="24E66637"/>
    <w:rsid w:val="24ED38F7"/>
    <w:rsid w:val="24EE7F16"/>
    <w:rsid w:val="252C109C"/>
    <w:rsid w:val="25364733"/>
    <w:rsid w:val="254239C5"/>
    <w:rsid w:val="25512802"/>
    <w:rsid w:val="25515CDE"/>
    <w:rsid w:val="25585215"/>
    <w:rsid w:val="25742B3B"/>
    <w:rsid w:val="259E376E"/>
    <w:rsid w:val="25B032A3"/>
    <w:rsid w:val="25B26F25"/>
    <w:rsid w:val="25BA51E7"/>
    <w:rsid w:val="25CB7823"/>
    <w:rsid w:val="25D31723"/>
    <w:rsid w:val="25DB75E9"/>
    <w:rsid w:val="25EC1D7E"/>
    <w:rsid w:val="25EF7867"/>
    <w:rsid w:val="25F60261"/>
    <w:rsid w:val="25FB6D44"/>
    <w:rsid w:val="260F082F"/>
    <w:rsid w:val="261868A0"/>
    <w:rsid w:val="261A7C4F"/>
    <w:rsid w:val="261E643F"/>
    <w:rsid w:val="26202CD0"/>
    <w:rsid w:val="26266C19"/>
    <w:rsid w:val="262C6222"/>
    <w:rsid w:val="263B06ED"/>
    <w:rsid w:val="263E0EE7"/>
    <w:rsid w:val="263F60ED"/>
    <w:rsid w:val="264F6618"/>
    <w:rsid w:val="265E685B"/>
    <w:rsid w:val="26667E05"/>
    <w:rsid w:val="2670658E"/>
    <w:rsid w:val="267A254E"/>
    <w:rsid w:val="267B2AE9"/>
    <w:rsid w:val="267B4F87"/>
    <w:rsid w:val="26A9406E"/>
    <w:rsid w:val="26B737B8"/>
    <w:rsid w:val="26C721DE"/>
    <w:rsid w:val="26DD103B"/>
    <w:rsid w:val="26E551AD"/>
    <w:rsid w:val="26E90145"/>
    <w:rsid w:val="26EA00EF"/>
    <w:rsid w:val="26F92BAC"/>
    <w:rsid w:val="26FB22FC"/>
    <w:rsid w:val="27071F3A"/>
    <w:rsid w:val="2714369C"/>
    <w:rsid w:val="272730F1"/>
    <w:rsid w:val="272950BB"/>
    <w:rsid w:val="27394790"/>
    <w:rsid w:val="273F0AD9"/>
    <w:rsid w:val="274426A0"/>
    <w:rsid w:val="27473793"/>
    <w:rsid w:val="2749221E"/>
    <w:rsid w:val="27514612"/>
    <w:rsid w:val="275F415D"/>
    <w:rsid w:val="27651657"/>
    <w:rsid w:val="27684462"/>
    <w:rsid w:val="276A122F"/>
    <w:rsid w:val="276B3E9F"/>
    <w:rsid w:val="276B56D3"/>
    <w:rsid w:val="27736336"/>
    <w:rsid w:val="2798501D"/>
    <w:rsid w:val="279C4AD7"/>
    <w:rsid w:val="27A35476"/>
    <w:rsid w:val="27A65F8B"/>
    <w:rsid w:val="27B65AE3"/>
    <w:rsid w:val="27BC1E12"/>
    <w:rsid w:val="27C84CF0"/>
    <w:rsid w:val="27D50528"/>
    <w:rsid w:val="27E860F5"/>
    <w:rsid w:val="27EB4FC6"/>
    <w:rsid w:val="27F57754"/>
    <w:rsid w:val="27F64482"/>
    <w:rsid w:val="27F67F79"/>
    <w:rsid w:val="28001200"/>
    <w:rsid w:val="2829773D"/>
    <w:rsid w:val="282A05C4"/>
    <w:rsid w:val="283006CB"/>
    <w:rsid w:val="28397580"/>
    <w:rsid w:val="283A428C"/>
    <w:rsid w:val="28492446"/>
    <w:rsid w:val="28520641"/>
    <w:rsid w:val="2852419D"/>
    <w:rsid w:val="285443B9"/>
    <w:rsid w:val="2855615C"/>
    <w:rsid w:val="285A15F6"/>
    <w:rsid w:val="285D0CF9"/>
    <w:rsid w:val="286363AA"/>
    <w:rsid w:val="286B256A"/>
    <w:rsid w:val="28785910"/>
    <w:rsid w:val="28795503"/>
    <w:rsid w:val="288B2D1F"/>
    <w:rsid w:val="28AA3FD9"/>
    <w:rsid w:val="28B01B68"/>
    <w:rsid w:val="28B64B20"/>
    <w:rsid w:val="28BA7F95"/>
    <w:rsid w:val="28CD6A87"/>
    <w:rsid w:val="28D15A0A"/>
    <w:rsid w:val="28D52BF1"/>
    <w:rsid w:val="28D86677"/>
    <w:rsid w:val="28ED43DB"/>
    <w:rsid w:val="29030D0A"/>
    <w:rsid w:val="290D66CE"/>
    <w:rsid w:val="292766C9"/>
    <w:rsid w:val="29345F99"/>
    <w:rsid w:val="29393671"/>
    <w:rsid w:val="293B5BC9"/>
    <w:rsid w:val="2940049A"/>
    <w:rsid w:val="29475CCC"/>
    <w:rsid w:val="295403E9"/>
    <w:rsid w:val="295959FF"/>
    <w:rsid w:val="29654AEC"/>
    <w:rsid w:val="296C39AB"/>
    <w:rsid w:val="29806D16"/>
    <w:rsid w:val="298C7AE8"/>
    <w:rsid w:val="29A30A29"/>
    <w:rsid w:val="29B64C00"/>
    <w:rsid w:val="29B758AC"/>
    <w:rsid w:val="29B77737"/>
    <w:rsid w:val="29C42A2C"/>
    <w:rsid w:val="29CF181E"/>
    <w:rsid w:val="29D22C4A"/>
    <w:rsid w:val="2A0744C9"/>
    <w:rsid w:val="2A1C4900"/>
    <w:rsid w:val="2A1F4553"/>
    <w:rsid w:val="2A263B34"/>
    <w:rsid w:val="2A314286"/>
    <w:rsid w:val="2A3C3357"/>
    <w:rsid w:val="2A4415F9"/>
    <w:rsid w:val="2A646C63"/>
    <w:rsid w:val="2A861B78"/>
    <w:rsid w:val="2A8E1A97"/>
    <w:rsid w:val="2A900FAD"/>
    <w:rsid w:val="2A992557"/>
    <w:rsid w:val="2A9F378A"/>
    <w:rsid w:val="2AB26EFC"/>
    <w:rsid w:val="2AB61686"/>
    <w:rsid w:val="2AB7478C"/>
    <w:rsid w:val="2AB949A8"/>
    <w:rsid w:val="2ABE1FBE"/>
    <w:rsid w:val="2AC84DE0"/>
    <w:rsid w:val="2AD5156A"/>
    <w:rsid w:val="2AD54677"/>
    <w:rsid w:val="2AD83B83"/>
    <w:rsid w:val="2AE35581"/>
    <w:rsid w:val="2AFE685E"/>
    <w:rsid w:val="2B07735B"/>
    <w:rsid w:val="2B084930"/>
    <w:rsid w:val="2B0A5203"/>
    <w:rsid w:val="2B1240B8"/>
    <w:rsid w:val="2B1C4F36"/>
    <w:rsid w:val="2B273BF0"/>
    <w:rsid w:val="2B343C12"/>
    <w:rsid w:val="2B3A33D5"/>
    <w:rsid w:val="2B411285"/>
    <w:rsid w:val="2B4A200F"/>
    <w:rsid w:val="2B4F2C16"/>
    <w:rsid w:val="2B536BAA"/>
    <w:rsid w:val="2B58672F"/>
    <w:rsid w:val="2B682779"/>
    <w:rsid w:val="2B6D6150"/>
    <w:rsid w:val="2B7102E5"/>
    <w:rsid w:val="2B746B21"/>
    <w:rsid w:val="2B7F1191"/>
    <w:rsid w:val="2B940F71"/>
    <w:rsid w:val="2B97384F"/>
    <w:rsid w:val="2B9D6077"/>
    <w:rsid w:val="2BBA665B"/>
    <w:rsid w:val="2BC01D66"/>
    <w:rsid w:val="2BC74690"/>
    <w:rsid w:val="2BCC2801"/>
    <w:rsid w:val="2BD46C53"/>
    <w:rsid w:val="2BD73AED"/>
    <w:rsid w:val="2BDF21EC"/>
    <w:rsid w:val="2BE000C4"/>
    <w:rsid w:val="2BF04D0B"/>
    <w:rsid w:val="2BF9359B"/>
    <w:rsid w:val="2BFD3A35"/>
    <w:rsid w:val="2C047EA4"/>
    <w:rsid w:val="2C055EF2"/>
    <w:rsid w:val="2C060A3E"/>
    <w:rsid w:val="2C126C0F"/>
    <w:rsid w:val="2C183950"/>
    <w:rsid w:val="2C1D2D14"/>
    <w:rsid w:val="2C2E0A7D"/>
    <w:rsid w:val="2C2E6C7D"/>
    <w:rsid w:val="2C4B162F"/>
    <w:rsid w:val="2C5A75F8"/>
    <w:rsid w:val="2C651C75"/>
    <w:rsid w:val="2C68348A"/>
    <w:rsid w:val="2C6B5637"/>
    <w:rsid w:val="2C710571"/>
    <w:rsid w:val="2C71331F"/>
    <w:rsid w:val="2C774DCD"/>
    <w:rsid w:val="2C793E3A"/>
    <w:rsid w:val="2C83001E"/>
    <w:rsid w:val="2C83526D"/>
    <w:rsid w:val="2C9A4365"/>
    <w:rsid w:val="2C9A6113"/>
    <w:rsid w:val="2CB74F17"/>
    <w:rsid w:val="2CBE44F7"/>
    <w:rsid w:val="2CCB2D8F"/>
    <w:rsid w:val="2CCE7751"/>
    <w:rsid w:val="2CD00893"/>
    <w:rsid w:val="2CE11CF9"/>
    <w:rsid w:val="2CF42E5C"/>
    <w:rsid w:val="2CF75313"/>
    <w:rsid w:val="2CF94F11"/>
    <w:rsid w:val="2CFA3055"/>
    <w:rsid w:val="2CFB05B9"/>
    <w:rsid w:val="2D126E0D"/>
    <w:rsid w:val="2D202FE6"/>
    <w:rsid w:val="2D3246CE"/>
    <w:rsid w:val="2D3C433C"/>
    <w:rsid w:val="2D3E5057"/>
    <w:rsid w:val="2D517119"/>
    <w:rsid w:val="2D520014"/>
    <w:rsid w:val="2D7252A0"/>
    <w:rsid w:val="2D7626DC"/>
    <w:rsid w:val="2D7651BC"/>
    <w:rsid w:val="2D870D8D"/>
    <w:rsid w:val="2D9B54B0"/>
    <w:rsid w:val="2DA42713"/>
    <w:rsid w:val="2DBB27E5"/>
    <w:rsid w:val="2DC37FE4"/>
    <w:rsid w:val="2DD56D57"/>
    <w:rsid w:val="2DF03989"/>
    <w:rsid w:val="2DF06932"/>
    <w:rsid w:val="2DFD3A93"/>
    <w:rsid w:val="2E076097"/>
    <w:rsid w:val="2E0A7E49"/>
    <w:rsid w:val="2E0F2B31"/>
    <w:rsid w:val="2E170F19"/>
    <w:rsid w:val="2E1819E5"/>
    <w:rsid w:val="2E2E745B"/>
    <w:rsid w:val="2E683F36"/>
    <w:rsid w:val="2E6E2F69"/>
    <w:rsid w:val="2E7035CF"/>
    <w:rsid w:val="2E732B82"/>
    <w:rsid w:val="2E7330BF"/>
    <w:rsid w:val="2E851A54"/>
    <w:rsid w:val="2E86180B"/>
    <w:rsid w:val="2E900844"/>
    <w:rsid w:val="2E946218"/>
    <w:rsid w:val="2E9A064C"/>
    <w:rsid w:val="2EAB1ABF"/>
    <w:rsid w:val="2EB157B1"/>
    <w:rsid w:val="2EB55486"/>
    <w:rsid w:val="2EC02B26"/>
    <w:rsid w:val="2EE476AD"/>
    <w:rsid w:val="2EE832A8"/>
    <w:rsid w:val="2EEA4302"/>
    <w:rsid w:val="2EFE0BDB"/>
    <w:rsid w:val="2F1403FE"/>
    <w:rsid w:val="2F236A43"/>
    <w:rsid w:val="2F340AA1"/>
    <w:rsid w:val="2F3C0F4C"/>
    <w:rsid w:val="2F5A0E36"/>
    <w:rsid w:val="2F6A001E"/>
    <w:rsid w:val="2F6C0263"/>
    <w:rsid w:val="2F6F7D2B"/>
    <w:rsid w:val="2F71077D"/>
    <w:rsid w:val="2F720E89"/>
    <w:rsid w:val="2F7E1D1C"/>
    <w:rsid w:val="2F8224C5"/>
    <w:rsid w:val="2F882B9B"/>
    <w:rsid w:val="2F8F63FC"/>
    <w:rsid w:val="2F8F7CE7"/>
    <w:rsid w:val="2F916A0A"/>
    <w:rsid w:val="2F9E74D9"/>
    <w:rsid w:val="2FA8323D"/>
    <w:rsid w:val="2FB171F2"/>
    <w:rsid w:val="2FCE66EF"/>
    <w:rsid w:val="2FD60599"/>
    <w:rsid w:val="2FD923D7"/>
    <w:rsid w:val="2FF34587"/>
    <w:rsid w:val="2FF448FC"/>
    <w:rsid w:val="30016A55"/>
    <w:rsid w:val="300472B9"/>
    <w:rsid w:val="3006124B"/>
    <w:rsid w:val="301F3BE7"/>
    <w:rsid w:val="30237BEA"/>
    <w:rsid w:val="302E4173"/>
    <w:rsid w:val="30311CBE"/>
    <w:rsid w:val="303D5733"/>
    <w:rsid w:val="3047225C"/>
    <w:rsid w:val="304A7E50"/>
    <w:rsid w:val="307719DD"/>
    <w:rsid w:val="307D0225"/>
    <w:rsid w:val="307D7426"/>
    <w:rsid w:val="30801AC4"/>
    <w:rsid w:val="30920B50"/>
    <w:rsid w:val="30A6777C"/>
    <w:rsid w:val="30A71FDD"/>
    <w:rsid w:val="30AE4883"/>
    <w:rsid w:val="30B023A9"/>
    <w:rsid w:val="30B71095"/>
    <w:rsid w:val="30B83219"/>
    <w:rsid w:val="30C249C4"/>
    <w:rsid w:val="30C50AF9"/>
    <w:rsid w:val="30D04DAC"/>
    <w:rsid w:val="30D4508F"/>
    <w:rsid w:val="30EA57FC"/>
    <w:rsid w:val="30F83C8F"/>
    <w:rsid w:val="310E4EC4"/>
    <w:rsid w:val="31130007"/>
    <w:rsid w:val="31181CFC"/>
    <w:rsid w:val="31186AF6"/>
    <w:rsid w:val="3118701D"/>
    <w:rsid w:val="31256864"/>
    <w:rsid w:val="31443F1B"/>
    <w:rsid w:val="31514040"/>
    <w:rsid w:val="318A64AB"/>
    <w:rsid w:val="31921A6C"/>
    <w:rsid w:val="319339B7"/>
    <w:rsid w:val="31997713"/>
    <w:rsid w:val="319D33F1"/>
    <w:rsid w:val="319F6FC8"/>
    <w:rsid w:val="31A14F37"/>
    <w:rsid w:val="31A5312D"/>
    <w:rsid w:val="31AB2B70"/>
    <w:rsid w:val="31C1499D"/>
    <w:rsid w:val="31D55DF5"/>
    <w:rsid w:val="31DB5204"/>
    <w:rsid w:val="31DC77D2"/>
    <w:rsid w:val="31E247E4"/>
    <w:rsid w:val="31E47772"/>
    <w:rsid w:val="31F84DBF"/>
    <w:rsid w:val="32052280"/>
    <w:rsid w:val="32155F64"/>
    <w:rsid w:val="32165171"/>
    <w:rsid w:val="321921D0"/>
    <w:rsid w:val="321B5F48"/>
    <w:rsid w:val="32276D24"/>
    <w:rsid w:val="3228125C"/>
    <w:rsid w:val="322F7B23"/>
    <w:rsid w:val="32334732"/>
    <w:rsid w:val="32345D1D"/>
    <w:rsid w:val="324A4CD6"/>
    <w:rsid w:val="325356E2"/>
    <w:rsid w:val="325A081E"/>
    <w:rsid w:val="32601BAD"/>
    <w:rsid w:val="32613FCC"/>
    <w:rsid w:val="326C5971"/>
    <w:rsid w:val="326C67A3"/>
    <w:rsid w:val="32725B2C"/>
    <w:rsid w:val="32746458"/>
    <w:rsid w:val="327A4D8C"/>
    <w:rsid w:val="328A123D"/>
    <w:rsid w:val="328C0BF4"/>
    <w:rsid w:val="328F75F6"/>
    <w:rsid w:val="329020FA"/>
    <w:rsid w:val="329E67EE"/>
    <w:rsid w:val="32A23F73"/>
    <w:rsid w:val="32A412ED"/>
    <w:rsid w:val="32A70B8F"/>
    <w:rsid w:val="32A74968"/>
    <w:rsid w:val="32A801AF"/>
    <w:rsid w:val="32B1535C"/>
    <w:rsid w:val="32C04138"/>
    <w:rsid w:val="32C1178F"/>
    <w:rsid w:val="32C167FD"/>
    <w:rsid w:val="32C3576E"/>
    <w:rsid w:val="32CF4709"/>
    <w:rsid w:val="32DC6D51"/>
    <w:rsid w:val="32E6034B"/>
    <w:rsid w:val="32F02F31"/>
    <w:rsid w:val="32FD73FC"/>
    <w:rsid w:val="330A4A0D"/>
    <w:rsid w:val="330B6D39"/>
    <w:rsid w:val="331035D3"/>
    <w:rsid w:val="331A6F5A"/>
    <w:rsid w:val="332102C2"/>
    <w:rsid w:val="33243CC9"/>
    <w:rsid w:val="332B21BB"/>
    <w:rsid w:val="332C7176"/>
    <w:rsid w:val="33423527"/>
    <w:rsid w:val="33426DA1"/>
    <w:rsid w:val="33634942"/>
    <w:rsid w:val="336E3E55"/>
    <w:rsid w:val="336F406F"/>
    <w:rsid w:val="33700F55"/>
    <w:rsid w:val="33767EF1"/>
    <w:rsid w:val="338D41C8"/>
    <w:rsid w:val="33AB52AC"/>
    <w:rsid w:val="33B41233"/>
    <w:rsid w:val="33B94EAE"/>
    <w:rsid w:val="33C00B55"/>
    <w:rsid w:val="33C1667B"/>
    <w:rsid w:val="33C57F19"/>
    <w:rsid w:val="33C60C49"/>
    <w:rsid w:val="33D17928"/>
    <w:rsid w:val="33DC2486"/>
    <w:rsid w:val="33DC34B5"/>
    <w:rsid w:val="33E65956"/>
    <w:rsid w:val="33E7569D"/>
    <w:rsid w:val="33FC0937"/>
    <w:rsid w:val="34131FCD"/>
    <w:rsid w:val="34157B81"/>
    <w:rsid w:val="341A29E2"/>
    <w:rsid w:val="341B1235"/>
    <w:rsid w:val="341B6EE0"/>
    <w:rsid w:val="342033A2"/>
    <w:rsid w:val="34392127"/>
    <w:rsid w:val="344169F0"/>
    <w:rsid w:val="344D7F0F"/>
    <w:rsid w:val="34511BAB"/>
    <w:rsid w:val="346A42C0"/>
    <w:rsid w:val="347964D2"/>
    <w:rsid w:val="3481465F"/>
    <w:rsid w:val="3482256B"/>
    <w:rsid w:val="34876910"/>
    <w:rsid w:val="348F7F6E"/>
    <w:rsid w:val="34A0133E"/>
    <w:rsid w:val="34A35898"/>
    <w:rsid w:val="34A5270E"/>
    <w:rsid w:val="34B1049E"/>
    <w:rsid w:val="34B54432"/>
    <w:rsid w:val="34BE659D"/>
    <w:rsid w:val="34C957E7"/>
    <w:rsid w:val="34D348B8"/>
    <w:rsid w:val="34DD1293"/>
    <w:rsid w:val="34DD5737"/>
    <w:rsid w:val="34E7073C"/>
    <w:rsid w:val="34F071CD"/>
    <w:rsid w:val="34F547D5"/>
    <w:rsid w:val="34FA09EA"/>
    <w:rsid w:val="35190924"/>
    <w:rsid w:val="352F2324"/>
    <w:rsid w:val="3535387B"/>
    <w:rsid w:val="35493093"/>
    <w:rsid w:val="354C5AE1"/>
    <w:rsid w:val="354E3E9C"/>
    <w:rsid w:val="35523D64"/>
    <w:rsid w:val="35596B41"/>
    <w:rsid w:val="356454E5"/>
    <w:rsid w:val="357F059C"/>
    <w:rsid w:val="358356F3"/>
    <w:rsid w:val="358F13B0"/>
    <w:rsid w:val="35942299"/>
    <w:rsid w:val="35AD335B"/>
    <w:rsid w:val="35BD7F24"/>
    <w:rsid w:val="35CF4B1B"/>
    <w:rsid w:val="35D11EC8"/>
    <w:rsid w:val="35D2425A"/>
    <w:rsid w:val="35D94150"/>
    <w:rsid w:val="35E302A8"/>
    <w:rsid w:val="35E801DD"/>
    <w:rsid w:val="35F42D38"/>
    <w:rsid w:val="35F8709C"/>
    <w:rsid w:val="360361DB"/>
    <w:rsid w:val="361909F0"/>
    <w:rsid w:val="361E143F"/>
    <w:rsid w:val="363650FE"/>
    <w:rsid w:val="363961BA"/>
    <w:rsid w:val="365233AA"/>
    <w:rsid w:val="36545584"/>
    <w:rsid w:val="36587A26"/>
    <w:rsid w:val="3664258C"/>
    <w:rsid w:val="36673031"/>
    <w:rsid w:val="367A4E5D"/>
    <w:rsid w:val="367A5AB7"/>
    <w:rsid w:val="367F7912"/>
    <w:rsid w:val="369571B1"/>
    <w:rsid w:val="369938DF"/>
    <w:rsid w:val="36AC716F"/>
    <w:rsid w:val="36B10089"/>
    <w:rsid w:val="36BA380C"/>
    <w:rsid w:val="36D37B42"/>
    <w:rsid w:val="36D92521"/>
    <w:rsid w:val="36D94358"/>
    <w:rsid w:val="36DA6F97"/>
    <w:rsid w:val="36E52680"/>
    <w:rsid w:val="37082A98"/>
    <w:rsid w:val="371236C7"/>
    <w:rsid w:val="37151888"/>
    <w:rsid w:val="372D18C2"/>
    <w:rsid w:val="3737653A"/>
    <w:rsid w:val="373858B9"/>
    <w:rsid w:val="373C7E62"/>
    <w:rsid w:val="373D3165"/>
    <w:rsid w:val="37476DB7"/>
    <w:rsid w:val="374A5D53"/>
    <w:rsid w:val="375146DF"/>
    <w:rsid w:val="377059F2"/>
    <w:rsid w:val="379C5435"/>
    <w:rsid w:val="37B90E46"/>
    <w:rsid w:val="37CA4FF3"/>
    <w:rsid w:val="37D63BA7"/>
    <w:rsid w:val="37FE7E9E"/>
    <w:rsid w:val="380354B4"/>
    <w:rsid w:val="381712F5"/>
    <w:rsid w:val="38213CCD"/>
    <w:rsid w:val="382B0F6A"/>
    <w:rsid w:val="38402127"/>
    <w:rsid w:val="38417D8A"/>
    <w:rsid w:val="384F4255"/>
    <w:rsid w:val="3851621F"/>
    <w:rsid w:val="38555DED"/>
    <w:rsid w:val="38563836"/>
    <w:rsid w:val="386446FF"/>
    <w:rsid w:val="38736F1F"/>
    <w:rsid w:val="38821F74"/>
    <w:rsid w:val="38855B49"/>
    <w:rsid w:val="38877E93"/>
    <w:rsid w:val="38882080"/>
    <w:rsid w:val="389046DA"/>
    <w:rsid w:val="38A27053"/>
    <w:rsid w:val="38C05C54"/>
    <w:rsid w:val="38C22C79"/>
    <w:rsid w:val="38C421E4"/>
    <w:rsid w:val="38DB7C64"/>
    <w:rsid w:val="38ED3A6E"/>
    <w:rsid w:val="38EF1B8D"/>
    <w:rsid w:val="38FE486E"/>
    <w:rsid w:val="39094CCC"/>
    <w:rsid w:val="391A3D71"/>
    <w:rsid w:val="391B4A7F"/>
    <w:rsid w:val="391C074B"/>
    <w:rsid w:val="391E6CF5"/>
    <w:rsid w:val="392965DC"/>
    <w:rsid w:val="393E2487"/>
    <w:rsid w:val="3952339C"/>
    <w:rsid w:val="395D0BF4"/>
    <w:rsid w:val="396401D4"/>
    <w:rsid w:val="39683561"/>
    <w:rsid w:val="397445CD"/>
    <w:rsid w:val="397A5C44"/>
    <w:rsid w:val="397A79F8"/>
    <w:rsid w:val="39861EF9"/>
    <w:rsid w:val="398E5251"/>
    <w:rsid w:val="39972358"/>
    <w:rsid w:val="3997449A"/>
    <w:rsid w:val="39A16D33"/>
    <w:rsid w:val="39A24498"/>
    <w:rsid w:val="39A75836"/>
    <w:rsid w:val="39B0341A"/>
    <w:rsid w:val="39B051C8"/>
    <w:rsid w:val="39C12F31"/>
    <w:rsid w:val="39D0586A"/>
    <w:rsid w:val="39DF0585"/>
    <w:rsid w:val="39DF28E3"/>
    <w:rsid w:val="39E62997"/>
    <w:rsid w:val="39E63A6F"/>
    <w:rsid w:val="39E6440A"/>
    <w:rsid w:val="39E82BB3"/>
    <w:rsid w:val="39F47CC8"/>
    <w:rsid w:val="3A1F043C"/>
    <w:rsid w:val="3A2B0CF2"/>
    <w:rsid w:val="3A2B2B4A"/>
    <w:rsid w:val="3A2C5086"/>
    <w:rsid w:val="3A2F7DA5"/>
    <w:rsid w:val="3A315F9B"/>
    <w:rsid w:val="3A3169B0"/>
    <w:rsid w:val="3A384008"/>
    <w:rsid w:val="3A390AF0"/>
    <w:rsid w:val="3A4038EA"/>
    <w:rsid w:val="3A43603C"/>
    <w:rsid w:val="3A482D4D"/>
    <w:rsid w:val="3A4B1C4D"/>
    <w:rsid w:val="3A543F15"/>
    <w:rsid w:val="3A6A7E73"/>
    <w:rsid w:val="3A7B3A28"/>
    <w:rsid w:val="3A7E0637"/>
    <w:rsid w:val="3A7E7671"/>
    <w:rsid w:val="3A8520B1"/>
    <w:rsid w:val="3A9643BE"/>
    <w:rsid w:val="3AA113B5"/>
    <w:rsid w:val="3AA27206"/>
    <w:rsid w:val="3AB669B4"/>
    <w:rsid w:val="3AC16F47"/>
    <w:rsid w:val="3ACE1F59"/>
    <w:rsid w:val="3AF414EE"/>
    <w:rsid w:val="3AF62E2E"/>
    <w:rsid w:val="3AF633B9"/>
    <w:rsid w:val="3AF85078"/>
    <w:rsid w:val="3B00217F"/>
    <w:rsid w:val="3B005CDB"/>
    <w:rsid w:val="3B0C67A6"/>
    <w:rsid w:val="3B1B48C3"/>
    <w:rsid w:val="3B2E3985"/>
    <w:rsid w:val="3B322230"/>
    <w:rsid w:val="3B3235A6"/>
    <w:rsid w:val="3B4025E0"/>
    <w:rsid w:val="3B424545"/>
    <w:rsid w:val="3B4648A6"/>
    <w:rsid w:val="3B573D09"/>
    <w:rsid w:val="3B5D312D"/>
    <w:rsid w:val="3B636BA3"/>
    <w:rsid w:val="3B663425"/>
    <w:rsid w:val="3B6C511E"/>
    <w:rsid w:val="3B930D8C"/>
    <w:rsid w:val="3BA307CD"/>
    <w:rsid w:val="3BAE0D68"/>
    <w:rsid w:val="3BAF68F1"/>
    <w:rsid w:val="3BB50609"/>
    <w:rsid w:val="3BB545D4"/>
    <w:rsid w:val="3BB86CD3"/>
    <w:rsid w:val="3BB86E9B"/>
    <w:rsid w:val="3BBA0580"/>
    <w:rsid w:val="3BC36DE9"/>
    <w:rsid w:val="3BC66F24"/>
    <w:rsid w:val="3BCB4484"/>
    <w:rsid w:val="3BCF5862"/>
    <w:rsid w:val="3BDC6748"/>
    <w:rsid w:val="3BDE0BE3"/>
    <w:rsid w:val="3BE06EAF"/>
    <w:rsid w:val="3BED2703"/>
    <w:rsid w:val="3BFA35D5"/>
    <w:rsid w:val="3C012312"/>
    <w:rsid w:val="3C0427E1"/>
    <w:rsid w:val="3C20321B"/>
    <w:rsid w:val="3C323443"/>
    <w:rsid w:val="3C333E8E"/>
    <w:rsid w:val="3C3A521C"/>
    <w:rsid w:val="3C454E83"/>
    <w:rsid w:val="3C461E13"/>
    <w:rsid w:val="3C4B11D8"/>
    <w:rsid w:val="3C5A02CB"/>
    <w:rsid w:val="3C60761A"/>
    <w:rsid w:val="3C6C0D26"/>
    <w:rsid w:val="3C746980"/>
    <w:rsid w:val="3C7626F9"/>
    <w:rsid w:val="3C860AC1"/>
    <w:rsid w:val="3C8D7513"/>
    <w:rsid w:val="3C9C7C85"/>
    <w:rsid w:val="3CA6502E"/>
    <w:rsid w:val="3CB23005"/>
    <w:rsid w:val="3CB609AC"/>
    <w:rsid w:val="3CC10598"/>
    <w:rsid w:val="3CC25493"/>
    <w:rsid w:val="3CC26F4F"/>
    <w:rsid w:val="3CD76FC7"/>
    <w:rsid w:val="3CD81F93"/>
    <w:rsid w:val="3CEF5448"/>
    <w:rsid w:val="3CF705BE"/>
    <w:rsid w:val="3CF96E86"/>
    <w:rsid w:val="3CFC5C2D"/>
    <w:rsid w:val="3D0B53AF"/>
    <w:rsid w:val="3D250704"/>
    <w:rsid w:val="3D2A5291"/>
    <w:rsid w:val="3D3112CE"/>
    <w:rsid w:val="3D356C89"/>
    <w:rsid w:val="3D375BF2"/>
    <w:rsid w:val="3D3C5553"/>
    <w:rsid w:val="3D49632E"/>
    <w:rsid w:val="3D53264B"/>
    <w:rsid w:val="3D650B29"/>
    <w:rsid w:val="3D8F0A2E"/>
    <w:rsid w:val="3D964617"/>
    <w:rsid w:val="3D9978B1"/>
    <w:rsid w:val="3DA2751D"/>
    <w:rsid w:val="3DA93281"/>
    <w:rsid w:val="3DAB4624"/>
    <w:rsid w:val="3DC74E1D"/>
    <w:rsid w:val="3DC94AAA"/>
    <w:rsid w:val="3DCF7FC2"/>
    <w:rsid w:val="3DD93AE5"/>
    <w:rsid w:val="3DE10046"/>
    <w:rsid w:val="3DE96EFA"/>
    <w:rsid w:val="3DEC2546"/>
    <w:rsid w:val="3DEF79BB"/>
    <w:rsid w:val="3DFC48DE"/>
    <w:rsid w:val="3E0F7994"/>
    <w:rsid w:val="3E1D4B5A"/>
    <w:rsid w:val="3E2E0AFE"/>
    <w:rsid w:val="3E305B4D"/>
    <w:rsid w:val="3E3D0FF4"/>
    <w:rsid w:val="3E410AE4"/>
    <w:rsid w:val="3E6C7FEE"/>
    <w:rsid w:val="3E7E6ED8"/>
    <w:rsid w:val="3E866E17"/>
    <w:rsid w:val="3E93351A"/>
    <w:rsid w:val="3E9A01F4"/>
    <w:rsid w:val="3E9E5F37"/>
    <w:rsid w:val="3EA765B8"/>
    <w:rsid w:val="3EA85C6E"/>
    <w:rsid w:val="3EBE3969"/>
    <w:rsid w:val="3EC62D97"/>
    <w:rsid w:val="3EE15E23"/>
    <w:rsid w:val="3EED52D5"/>
    <w:rsid w:val="3EF93351"/>
    <w:rsid w:val="3F0755D5"/>
    <w:rsid w:val="3F0A537A"/>
    <w:rsid w:val="3F16566D"/>
    <w:rsid w:val="3F2226C4"/>
    <w:rsid w:val="3F344E7E"/>
    <w:rsid w:val="3F3E526B"/>
    <w:rsid w:val="3F432BE9"/>
    <w:rsid w:val="3F4A39C9"/>
    <w:rsid w:val="3F4C14EF"/>
    <w:rsid w:val="3F4D2990"/>
    <w:rsid w:val="3F562DCD"/>
    <w:rsid w:val="3F5C3310"/>
    <w:rsid w:val="3F6042A3"/>
    <w:rsid w:val="3F630AB4"/>
    <w:rsid w:val="3F735D4D"/>
    <w:rsid w:val="3F7452A4"/>
    <w:rsid w:val="3F9115F7"/>
    <w:rsid w:val="3F9A3CE1"/>
    <w:rsid w:val="3F9C43B7"/>
    <w:rsid w:val="3FC65C51"/>
    <w:rsid w:val="3FD85478"/>
    <w:rsid w:val="3FD9295D"/>
    <w:rsid w:val="3FDF7D6E"/>
    <w:rsid w:val="3FE32AEE"/>
    <w:rsid w:val="3FF11EDD"/>
    <w:rsid w:val="400620E1"/>
    <w:rsid w:val="40093884"/>
    <w:rsid w:val="401F3152"/>
    <w:rsid w:val="402C5CF0"/>
    <w:rsid w:val="402F1ED8"/>
    <w:rsid w:val="40350256"/>
    <w:rsid w:val="403A3A3D"/>
    <w:rsid w:val="404B524E"/>
    <w:rsid w:val="40557152"/>
    <w:rsid w:val="406F5A34"/>
    <w:rsid w:val="407B7DCC"/>
    <w:rsid w:val="408B24EB"/>
    <w:rsid w:val="409475F1"/>
    <w:rsid w:val="40B050C7"/>
    <w:rsid w:val="40B530C4"/>
    <w:rsid w:val="40B80EB3"/>
    <w:rsid w:val="40BC4651"/>
    <w:rsid w:val="40EC52CA"/>
    <w:rsid w:val="40F40C4B"/>
    <w:rsid w:val="40F462E2"/>
    <w:rsid w:val="40FB7670"/>
    <w:rsid w:val="4101623C"/>
    <w:rsid w:val="41110C42"/>
    <w:rsid w:val="412344D1"/>
    <w:rsid w:val="412A5059"/>
    <w:rsid w:val="413307ED"/>
    <w:rsid w:val="41330914"/>
    <w:rsid w:val="413B4D20"/>
    <w:rsid w:val="41466412"/>
    <w:rsid w:val="417F0B65"/>
    <w:rsid w:val="41874513"/>
    <w:rsid w:val="41951276"/>
    <w:rsid w:val="41B97A2E"/>
    <w:rsid w:val="41BB295C"/>
    <w:rsid w:val="41BD406F"/>
    <w:rsid w:val="41E85F1A"/>
    <w:rsid w:val="41F84BDF"/>
    <w:rsid w:val="41FB544E"/>
    <w:rsid w:val="41FE47B0"/>
    <w:rsid w:val="41FF0A9A"/>
    <w:rsid w:val="41FF6CDC"/>
    <w:rsid w:val="4205311B"/>
    <w:rsid w:val="42116A20"/>
    <w:rsid w:val="4213014D"/>
    <w:rsid w:val="421B77E3"/>
    <w:rsid w:val="422769F1"/>
    <w:rsid w:val="423B2EC0"/>
    <w:rsid w:val="423D15C3"/>
    <w:rsid w:val="42425D95"/>
    <w:rsid w:val="426A5295"/>
    <w:rsid w:val="426B1C8A"/>
    <w:rsid w:val="426D76DF"/>
    <w:rsid w:val="426F345D"/>
    <w:rsid w:val="42707BEA"/>
    <w:rsid w:val="427E5C8F"/>
    <w:rsid w:val="4284202D"/>
    <w:rsid w:val="429E2D7B"/>
    <w:rsid w:val="42B0659F"/>
    <w:rsid w:val="42B370F6"/>
    <w:rsid w:val="42B45D29"/>
    <w:rsid w:val="42B925AD"/>
    <w:rsid w:val="42C24D65"/>
    <w:rsid w:val="42D13656"/>
    <w:rsid w:val="42D16F29"/>
    <w:rsid w:val="42D807B6"/>
    <w:rsid w:val="42DD501D"/>
    <w:rsid w:val="43086074"/>
    <w:rsid w:val="43104B97"/>
    <w:rsid w:val="43143436"/>
    <w:rsid w:val="431755AB"/>
    <w:rsid w:val="43361A2F"/>
    <w:rsid w:val="43563734"/>
    <w:rsid w:val="43685444"/>
    <w:rsid w:val="4374370A"/>
    <w:rsid w:val="437C6CCA"/>
    <w:rsid w:val="438751EB"/>
    <w:rsid w:val="43904838"/>
    <w:rsid w:val="43973B53"/>
    <w:rsid w:val="43985CFC"/>
    <w:rsid w:val="439B47F3"/>
    <w:rsid w:val="43A672DD"/>
    <w:rsid w:val="43AF029E"/>
    <w:rsid w:val="43BB7B53"/>
    <w:rsid w:val="43CC2BFE"/>
    <w:rsid w:val="43DB5537"/>
    <w:rsid w:val="43DD12AF"/>
    <w:rsid w:val="43F16115"/>
    <w:rsid w:val="43F77A25"/>
    <w:rsid w:val="440A1DCD"/>
    <w:rsid w:val="44167210"/>
    <w:rsid w:val="441775F9"/>
    <w:rsid w:val="44250560"/>
    <w:rsid w:val="442C7B41"/>
    <w:rsid w:val="44393D26"/>
    <w:rsid w:val="444267B9"/>
    <w:rsid w:val="444478DC"/>
    <w:rsid w:val="444F75EC"/>
    <w:rsid w:val="445A27E0"/>
    <w:rsid w:val="445B21D4"/>
    <w:rsid w:val="44613C8E"/>
    <w:rsid w:val="447E25AF"/>
    <w:rsid w:val="447F4114"/>
    <w:rsid w:val="448464FA"/>
    <w:rsid w:val="44954B7A"/>
    <w:rsid w:val="449A506C"/>
    <w:rsid w:val="449B0E1B"/>
    <w:rsid w:val="44A0466E"/>
    <w:rsid w:val="44B72C70"/>
    <w:rsid w:val="44D162A9"/>
    <w:rsid w:val="44E4041B"/>
    <w:rsid w:val="44E77DF9"/>
    <w:rsid w:val="44ED5F83"/>
    <w:rsid w:val="44EE3048"/>
    <w:rsid w:val="44F872A9"/>
    <w:rsid w:val="45084082"/>
    <w:rsid w:val="45096164"/>
    <w:rsid w:val="450A3F16"/>
    <w:rsid w:val="45182A4C"/>
    <w:rsid w:val="451A208F"/>
    <w:rsid w:val="451A546B"/>
    <w:rsid w:val="45244CBC"/>
    <w:rsid w:val="452A0524"/>
    <w:rsid w:val="45321187"/>
    <w:rsid w:val="45460099"/>
    <w:rsid w:val="454977AD"/>
    <w:rsid w:val="4554734F"/>
    <w:rsid w:val="45577FF1"/>
    <w:rsid w:val="456847EA"/>
    <w:rsid w:val="456D6663"/>
    <w:rsid w:val="45844218"/>
    <w:rsid w:val="459247D3"/>
    <w:rsid w:val="45D57C3C"/>
    <w:rsid w:val="45D6168D"/>
    <w:rsid w:val="45D85179"/>
    <w:rsid w:val="45D97854"/>
    <w:rsid w:val="45E90560"/>
    <w:rsid w:val="45EA7CB3"/>
    <w:rsid w:val="45F11042"/>
    <w:rsid w:val="46164604"/>
    <w:rsid w:val="4617631C"/>
    <w:rsid w:val="46253678"/>
    <w:rsid w:val="46317690"/>
    <w:rsid w:val="4646177E"/>
    <w:rsid w:val="465B26A3"/>
    <w:rsid w:val="46607F75"/>
    <w:rsid w:val="466444FF"/>
    <w:rsid w:val="468A7B4A"/>
    <w:rsid w:val="46900FBA"/>
    <w:rsid w:val="4698770F"/>
    <w:rsid w:val="469A0CA8"/>
    <w:rsid w:val="469C6830"/>
    <w:rsid w:val="46A04A0D"/>
    <w:rsid w:val="46AA78E9"/>
    <w:rsid w:val="46B02678"/>
    <w:rsid w:val="46B13F36"/>
    <w:rsid w:val="46B26D98"/>
    <w:rsid w:val="46B53D4A"/>
    <w:rsid w:val="46BC2A7F"/>
    <w:rsid w:val="46C40504"/>
    <w:rsid w:val="46C84974"/>
    <w:rsid w:val="46D94820"/>
    <w:rsid w:val="46E44703"/>
    <w:rsid w:val="46EE5581"/>
    <w:rsid w:val="471A45C8"/>
    <w:rsid w:val="47246F60"/>
    <w:rsid w:val="473B523F"/>
    <w:rsid w:val="474A1050"/>
    <w:rsid w:val="47635DFA"/>
    <w:rsid w:val="4778090B"/>
    <w:rsid w:val="47A143A2"/>
    <w:rsid w:val="47B02837"/>
    <w:rsid w:val="47B2482F"/>
    <w:rsid w:val="47C4683F"/>
    <w:rsid w:val="47CA1B4A"/>
    <w:rsid w:val="47CA3EAA"/>
    <w:rsid w:val="47D604EF"/>
    <w:rsid w:val="47DC187E"/>
    <w:rsid w:val="47DF7764"/>
    <w:rsid w:val="47E13712"/>
    <w:rsid w:val="47F6649C"/>
    <w:rsid w:val="47FB7AEF"/>
    <w:rsid w:val="4809691B"/>
    <w:rsid w:val="48161759"/>
    <w:rsid w:val="481E2C36"/>
    <w:rsid w:val="481E3C44"/>
    <w:rsid w:val="482034FD"/>
    <w:rsid w:val="48294B6E"/>
    <w:rsid w:val="482C2AB8"/>
    <w:rsid w:val="483B2A48"/>
    <w:rsid w:val="483B65A4"/>
    <w:rsid w:val="483F598C"/>
    <w:rsid w:val="484113D7"/>
    <w:rsid w:val="484216E1"/>
    <w:rsid w:val="484D1555"/>
    <w:rsid w:val="48660D47"/>
    <w:rsid w:val="486C2C02"/>
    <w:rsid w:val="4871789C"/>
    <w:rsid w:val="48733F90"/>
    <w:rsid w:val="487D0AE1"/>
    <w:rsid w:val="488476FF"/>
    <w:rsid w:val="488C5052"/>
    <w:rsid w:val="488F6C20"/>
    <w:rsid w:val="48906F90"/>
    <w:rsid w:val="489944E2"/>
    <w:rsid w:val="48A53BCC"/>
    <w:rsid w:val="48AE721B"/>
    <w:rsid w:val="48B64754"/>
    <w:rsid w:val="48BB02CE"/>
    <w:rsid w:val="48BB2D8B"/>
    <w:rsid w:val="48C06AA9"/>
    <w:rsid w:val="48C22822"/>
    <w:rsid w:val="48C53507"/>
    <w:rsid w:val="48D569F9"/>
    <w:rsid w:val="48D7185E"/>
    <w:rsid w:val="48DE42D9"/>
    <w:rsid w:val="48F86DA0"/>
    <w:rsid w:val="48FE09E3"/>
    <w:rsid w:val="49154F25"/>
    <w:rsid w:val="491D5CAA"/>
    <w:rsid w:val="49290F47"/>
    <w:rsid w:val="4929464F"/>
    <w:rsid w:val="492A5A61"/>
    <w:rsid w:val="493F2EBF"/>
    <w:rsid w:val="49415E3C"/>
    <w:rsid w:val="494476DB"/>
    <w:rsid w:val="49520049"/>
    <w:rsid w:val="49530D7A"/>
    <w:rsid w:val="49591568"/>
    <w:rsid w:val="49755985"/>
    <w:rsid w:val="49761144"/>
    <w:rsid w:val="498A2208"/>
    <w:rsid w:val="498D2A38"/>
    <w:rsid w:val="498D3802"/>
    <w:rsid w:val="49971F00"/>
    <w:rsid w:val="499865DC"/>
    <w:rsid w:val="499B66D1"/>
    <w:rsid w:val="49B34A9B"/>
    <w:rsid w:val="49B42DB5"/>
    <w:rsid w:val="49B8527B"/>
    <w:rsid w:val="49BE123B"/>
    <w:rsid w:val="49C94413"/>
    <w:rsid w:val="49CA211B"/>
    <w:rsid w:val="49DC4DFD"/>
    <w:rsid w:val="49E60B5A"/>
    <w:rsid w:val="49F91B0F"/>
    <w:rsid w:val="4A08695A"/>
    <w:rsid w:val="4A16083F"/>
    <w:rsid w:val="4A201EF6"/>
    <w:rsid w:val="4A2F3EC0"/>
    <w:rsid w:val="4A330784"/>
    <w:rsid w:val="4A3E7079"/>
    <w:rsid w:val="4A435BE4"/>
    <w:rsid w:val="4A567D2C"/>
    <w:rsid w:val="4A606984"/>
    <w:rsid w:val="4A6C6EE9"/>
    <w:rsid w:val="4A7A7858"/>
    <w:rsid w:val="4A844A42"/>
    <w:rsid w:val="4A8A55C1"/>
    <w:rsid w:val="4A930919"/>
    <w:rsid w:val="4AA27C7E"/>
    <w:rsid w:val="4AA91CD5"/>
    <w:rsid w:val="4AB8212E"/>
    <w:rsid w:val="4ABF568C"/>
    <w:rsid w:val="4AC87A66"/>
    <w:rsid w:val="4ACA0312"/>
    <w:rsid w:val="4ADB0B83"/>
    <w:rsid w:val="4AE02313"/>
    <w:rsid w:val="4AE1390A"/>
    <w:rsid w:val="4AE41175"/>
    <w:rsid w:val="4AEF3676"/>
    <w:rsid w:val="4AF175A2"/>
    <w:rsid w:val="4AF5443F"/>
    <w:rsid w:val="4B0435C5"/>
    <w:rsid w:val="4B0E61F2"/>
    <w:rsid w:val="4B134EA7"/>
    <w:rsid w:val="4B185C8F"/>
    <w:rsid w:val="4B1A2A18"/>
    <w:rsid w:val="4B1B6DFD"/>
    <w:rsid w:val="4B1D7B09"/>
    <w:rsid w:val="4B241814"/>
    <w:rsid w:val="4B2A2DEB"/>
    <w:rsid w:val="4B373770"/>
    <w:rsid w:val="4B410375"/>
    <w:rsid w:val="4B431AC0"/>
    <w:rsid w:val="4B4F12DC"/>
    <w:rsid w:val="4B513D00"/>
    <w:rsid w:val="4B58121B"/>
    <w:rsid w:val="4B69542F"/>
    <w:rsid w:val="4B7C13AE"/>
    <w:rsid w:val="4B8B339F"/>
    <w:rsid w:val="4BAE2EBA"/>
    <w:rsid w:val="4BB947D3"/>
    <w:rsid w:val="4BF103B4"/>
    <w:rsid w:val="4BF26BC3"/>
    <w:rsid w:val="4BF278C2"/>
    <w:rsid w:val="4BF50BE1"/>
    <w:rsid w:val="4BF83DFA"/>
    <w:rsid w:val="4BF93B68"/>
    <w:rsid w:val="4BFA0B12"/>
    <w:rsid w:val="4C083C34"/>
    <w:rsid w:val="4C092711"/>
    <w:rsid w:val="4C0B653D"/>
    <w:rsid w:val="4C0D64AA"/>
    <w:rsid w:val="4C156355"/>
    <w:rsid w:val="4C1D5AD4"/>
    <w:rsid w:val="4C2B2723"/>
    <w:rsid w:val="4C403447"/>
    <w:rsid w:val="4C486245"/>
    <w:rsid w:val="4C5464B8"/>
    <w:rsid w:val="4C650094"/>
    <w:rsid w:val="4C667519"/>
    <w:rsid w:val="4C6835B8"/>
    <w:rsid w:val="4C7E2F03"/>
    <w:rsid w:val="4C7F1FE0"/>
    <w:rsid w:val="4C9814EE"/>
    <w:rsid w:val="4CA3296A"/>
    <w:rsid w:val="4CB622F7"/>
    <w:rsid w:val="4CBD2F6A"/>
    <w:rsid w:val="4CBD5820"/>
    <w:rsid w:val="4CBE5E9A"/>
    <w:rsid w:val="4CC0176E"/>
    <w:rsid w:val="4CC065F7"/>
    <w:rsid w:val="4CD547F7"/>
    <w:rsid w:val="4CE310F2"/>
    <w:rsid w:val="4D0158E6"/>
    <w:rsid w:val="4D114E7D"/>
    <w:rsid w:val="4D1D3C58"/>
    <w:rsid w:val="4D20220D"/>
    <w:rsid w:val="4D27359B"/>
    <w:rsid w:val="4D441F97"/>
    <w:rsid w:val="4D5C3245"/>
    <w:rsid w:val="4D6501BC"/>
    <w:rsid w:val="4D6B0F80"/>
    <w:rsid w:val="4D702CA0"/>
    <w:rsid w:val="4D9D72F3"/>
    <w:rsid w:val="4D9F325B"/>
    <w:rsid w:val="4DA1334D"/>
    <w:rsid w:val="4DAB5F7A"/>
    <w:rsid w:val="4DB35120"/>
    <w:rsid w:val="4DB82445"/>
    <w:rsid w:val="4DC0341F"/>
    <w:rsid w:val="4DC1390F"/>
    <w:rsid w:val="4DC2602D"/>
    <w:rsid w:val="4DC97179"/>
    <w:rsid w:val="4DE259C9"/>
    <w:rsid w:val="4DED4F23"/>
    <w:rsid w:val="4DED508C"/>
    <w:rsid w:val="4DF25957"/>
    <w:rsid w:val="4DFD0CDD"/>
    <w:rsid w:val="4DFF1E22"/>
    <w:rsid w:val="4E0811BC"/>
    <w:rsid w:val="4E0D453F"/>
    <w:rsid w:val="4E0E1B79"/>
    <w:rsid w:val="4E1B59F8"/>
    <w:rsid w:val="4E1E6C22"/>
    <w:rsid w:val="4E3160E5"/>
    <w:rsid w:val="4E34029D"/>
    <w:rsid w:val="4E37628B"/>
    <w:rsid w:val="4E3917D8"/>
    <w:rsid w:val="4E444D86"/>
    <w:rsid w:val="4E4E1BBE"/>
    <w:rsid w:val="4E557B71"/>
    <w:rsid w:val="4E5763CE"/>
    <w:rsid w:val="4E5D22CA"/>
    <w:rsid w:val="4E604FB7"/>
    <w:rsid w:val="4E6D3230"/>
    <w:rsid w:val="4E704ADB"/>
    <w:rsid w:val="4E77130C"/>
    <w:rsid w:val="4E796C0F"/>
    <w:rsid w:val="4E920A11"/>
    <w:rsid w:val="4EA8604F"/>
    <w:rsid w:val="4EAF3848"/>
    <w:rsid w:val="4EB5391E"/>
    <w:rsid w:val="4EB56F03"/>
    <w:rsid w:val="4EC02D7C"/>
    <w:rsid w:val="4EC33BA0"/>
    <w:rsid w:val="4EC94591"/>
    <w:rsid w:val="4ED827AF"/>
    <w:rsid w:val="4EDA326C"/>
    <w:rsid w:val="4EDC6C92"/>
    <w:rsid w:val="4EDD2099"/>
    <w:rsid w:val="4EE01C53"/>
    <w:rsid w:val="4EE07EA5"/>
    <w:rsid w:val="4EE7257A"/>
    <w:rsid w:val="4EEA541F"/>
    <w:rsid w:val="4EEC3432"/>
    <w:rsid w:val="4EFF657E"/>
    <w:rsid w:val="4F053113"/>
    <w:rsid w:val="4F0771E0"/>
    <w:rsid w:val="4F10442F"/>
    <w:rsid w:val="4F1162B1"/>
    <w:rsid w:val="4F155DA1"/>
    <w:rsid w:val="4F1D07B2"/>
    <w:rsid w:val="4F602D94"/>
    <w:rsid w:val="4F6138F8"/>
    <w:rsid w:val="4F74168F"/>
    <w:rsid w:val="4F74239C"/>
    <w:rsid w:val="4F7E27FE"/>
    <w:rsid w:val="4F8272C1"/>
    <w:rsid w:val="4F844CD5"/>
    <w:rsid w:val="4F9A67C2"/>
    <w:rsid w:val="4FA73133"/>
    <w:rsid w:val="4FB025E2"/>
    <w:rsid w:val="4FB115E2"/>
    <w:rsid w:val="4FC9799E"/>
    <w:rsid w:val="4FD168E0"/>
    <w:rsid w:val="4FD67BBF"/>
    <w:rsid w:val="4FFA575F"/>
    <w:rsid w:val="4FFE14C1"/>
    <w:rsid w:val="4FFF37C4"/>
    <w:rsid w:val="4FFF6109"/>
    <w:rsid w:val="50036E81"/>
    <w:rsid w:val="5005458E"/>
    <w:rsid w:val="50210776"/>
    <w:rsid w:val="502D05EB"/>
    <w:rsid w:val="502D679D"/>
    <w:rsid w:val="503B64E5"/>
    <w:rsid w:val="50415BC5"/>
    <w:rsid w:val="50436C86"/>
    <w:rsid w:val="50507626"/>
    <w:rsid w:val="50556E05"/>
    <w:rsid w:val="505F7662"/>
    <w:rsid w:val="50631025"/>
    <w:rsid w:val="50725E5A"/>
    <w:rsid w:val="508D2803"/>
    <w:rsid w:val="508D4888"/>
    <w:rsid w:val="50972EEF"/>
    <w:rsid w:val="509D61B1"/>
    <w:rsid w:val="50A867A1"/>
    <w:rsid w:val="50AE54F4"/>
    <w:rsid w:val="50B04A39"/>
    <w:rsid w:val="50B202CD"/>
    <w:rsid w:val="50C11F21"/>
    <w:rsid w:val="50C63985"/>
    <w:rsid w:val="50EC327B"/>
    <w:rsid w:val="50F24D5A"/>
    <w:rsid w:val="50F941CE"/>
    <w:rsid w:val="50FD6D55"/>
    <w:rsid w:val="51146A38"/>
    <w:rsid w:val="511E24AA"/>
    <w:rsid w:val="512322CB"/>
    <w:rsid w:val="512C063B"/>
    <w:rsid w:val="512C55B9"/>
    <w:rsid w:val="513525B2"/>
    <w:rsid w:val="51387435"/>
    <w:rsid w:val="51477D68"/>
    <w:rsid w:val="514F664F"/>
    <w:rsid w:val="5167040A"/>
    <w:rsid w:val="516D25B4"/>
    <w:rsid w:val="51717CF3"/>
    <w:rsid w:val="51727A8C"/>
    <w:rsid w:val="517C1D80"/>
    <w:rsid w:val="517D77D5"/>
    <w:rsid w:val="518529D6"/>
    <w:rsid w:val="5195221D"/>
    <w:rsid w:val="5196484B"/>
    <w:rsid w:val="51982366"/>
    <w:rsid w:val="51AF0E14"/>
    <w:rsid w:val="51BC094C"/>
    <w:rsid w:val="51CB2747"/>
    <w:rsid w:val="51CF7228"/>
    <w:rsid w:val="51D117B6"/>
    <w:rsid w:val="51D11D27"/>
    <w:rsid w:val="51F003FF"/>
    <w:rsid w:val="5212481A"/>
    <w:rsid w:val="5213111C"/>
    <w:rsid w:val="52157E66"/>
    <w:rsid w:val="52182288"/>
    <w:rsid w:val="52247C1D"/>
    <w:rsid w:val="522E2DE1"/>
    <w:rsid w:val="52302EF2"/>
    <w:rsid w:val="523B1875"/>
    <w:rsid w:val="52481FEA"/>
    <w:rsid w:val="52680685"/>
    <w:rsid w:val="52681BCD"/>
    <w:rsid w:val="526B11E5"/>
    <w:rsid w:val="526E659E"/>
    <w:rsid w:val="52742DDF"/>
    <w:rsid w:val="52754DA9"/>
    <w:rsid w:val="527D3FBA"/>
    <w:rsid w:val="527D7680"/>
    <w:rsid w:val="527E1EAF"/>
    <w:rsid w:val="528172AA"/>
    <w:rsid w:val="52880638"/>
    <w:rsid w:val="528A19DA"/>
    <w:rsid w:val="52942F70"/>
    <w:rsid w:val="52AD4542"/>
    <w:rsid w:val="52B447A9"/>
    <w:rsid w:val="52BF6DBE"/>
    <w:rsid w:val="52C27F1F"/>
    <w:rsid w:val="52CD5A59"/>
    <w:rsid w:val="52CE35F4"/>
    <w:rsid w:val="52CE5626"/>
    <w:rsid w:val="52D01D4F"/>
    <w:rsid w:val="52D7511B"/>
    <w:rsid w:val="52DD75D5"/>
    <w:rsid w:val="52E00151"/>
    <w:rsid w:val="52E224E5"/>
    <w:rsid w:val="52F201A7"/>
    <w:rsid w:val="52F4040F"/>
    <w:rsid w:val="52FE4D9E"/>
    <w:rsid w:val="53121129"/>
    <w:rsid w:val="5322283B"/>
    <w:rsid w:val="532F098A"/>
    <w:rsid w:val="53345AE2"/>
    <w:rsid w:val="53395DD6"/>
    <w:rsid w:val="533C3F47"/>
    <w:rsid w:val="533E4469"/>
    <w:rsid w:val="534241D3"/>
    <w:rsid w:val="536C1D08"/>
    <w:rsid w:val="536D7B30"/>
    <w:rsid w:val="53805002"/>
    <w:rsid w:val="538652B9"/>
    <w:rsid w:val="5386726D"/>
    <w:rsid w:val="53876CA3"/>
    <w:rsid w:val="53901E9A"/>
    <w:rsid w:val="5394125E"/>
    <w:rsid w:val="5397789A"/>
    <w:rsid w:val="539D7D43"/>
    <w:rsid w:val="53B53F2B"/>
    <w:rsid w:val="53BA5106"/>
    <w:rsid w:val="53CC5DDE"/>
    <w:rsid w:val="53CE29C2"/>
    <w:rsid w:val="53DA2824"/>
    <w:rsid w:val="53F93264"/>
    <w:rsid w:val="54150022"/>
    <w:rsid w:val="5415431E"/>
    <w:rsid w:val="54183C3E"/>
    <w:rsid w:val="541C643F"/>
    <w:rsid w:val="541F7326"/>
    <w:rsid w:val="542726BD"/>
    <w:rsid w:val="54322F51"/>
    <w:rsid w:val="5441324F"/>
    <w:rsid w:val="5450373E"/>
    <w:rsid w:val="545D7829"/>
    <w:rsid w:val="54645C4F"/>
    <w:rsid w:val="54755F89"/>
    <w:rsid w:val="547D55FD"/>
    <w:rsid w:val="549112D2"/>
    <w:rsid w:val="549A0AF6"/>
    <w:rsid w:val="54AB6860"/>
    <w:rsid w:val="54AC72FA"/>
    <w:rsid w:val="54AD0FD5"/>
    <w:rsid w:val="54AF3531"/>
    <w:rsid w:val="54B73456"/>
    <w:rsid w:val="54B971CF"/>
    <w:rsid w:val="54BC659A"/>
    <w:rsid w:val="54C3004D"/>
    <w:rsid w:val="54DC38E7"/>
    <w:rsid w:val="54E17285"/>
    <w:rsid w:val="54E47760"/>
    <w:rsid w:val="54E51D72"/>
    <w:rsid w:val="54E6420C"/>
    <w:rsid w:val="54F40207"/>
    <w:rsid w:val="550B10E8"/>
    <w:rsid w:val="551179E8"/>
    <w:rsid w:val="552C5BF2"/>
    <w:rsid w:val="552C7084"/>
    <w:rsid w:val="553B4087"/>
    <w:rsid w:val="553E76D4"/>
    <w:rsid w:val="5546655C"/>
    <w:rsid w:val="554C0043"/>
    <w:rsid w:val="55532767"/>
    <w:rsid w:val="555925CB"/>
    <w:rsid w:val="555A3058"/>
    <w:rsid w:val="555D45C4"/>
    <w:rsid w:val="555E3130"/>
    <w:rsid w:val="55713605"/>
    <w:rsid w:val="55800BFE"/>
    <w:rsid w:val="55855303"/>
    <w:rsid w:val="55857B85"/>
    <w:rsid w:val="558F1CDD"/>
    <w:rsid w:val="55964569"/>
    <w:rsid w:val="55B9757F"/>
    <w:rsid w:val="55BF3223"/>
    <w:rsid w:val="55C5183A"/>
    <w:rsid w:val="55C7591B"/>
    <w:rsid w:val="55D6790C"/>
    <w:rsid w:val="55F935FB"/>
    <w:rsid w:val="56136261"/>
    <w:rsid w:val="561A1EEF"/>
    <w:rsid w:val="5626685A"/>
    <w:rsid w:val="562A241C"/>
    <w:rsid w:val="5630526E"/>
    <w:rsid w:val="56334D5F"/>
    <w:rsid w:val="5637484F"/>
    <w:rsid w:val="56500609"/>
    <w:rsid w:val="56514E59"/>
    <w:rsid w:val="56540F54"/>
    <w:rsid w:val="56590A53"/>
    <w:rsid w:val="5664066A"/>
    <w:rsid w:val="5664076B"/>
    <w:rsid w:val="566961EA"/>
    <w:rsid w:val="56970802"/>
    <w:rsid w:val="56A131AC"/>
    <w:rsid w:val="56A45C5C"/>
    <w:rsid w:val="56AB064B"/>
    <w:rsid w:val="56B37C4E"/>
    <w:rsid w:val="56B4703D"/>
    <w:rsid w:val="56C321B1"/>
    <w:rsid w:val="56CA336E"/>
    <w:rsid w:val="56CC1FAF"/>
    <w:rsid w:val="56D31EE8"/>
    <w:rsid w:val="56D83D2F"/>
    <w:rsid w:val="56F664B8"/>
    <w:rsid w:val="56FB58B4"/>
    <w:rsid w:val="57025C30"/>
    <w:rsid w:val="57097A73"/>
    <w:rsid w:val="572E7F75"/>
    <w:rsid w:val="573174F0"/>
    <w:rsid w:val="57450CAA"/>
    <w:rsid w:val="574C432A"/>
    <w:rsid w:val="57631674"/>
    <w:rsid w:val="576B22D6"/>
    <w:rsid w:val="576D42A0"/>
    <w:rsid w:val="576E0F3E"/>
    <w:rsid w:val="576F4EF5"/>
    <w:rsid w:val="57745E1E"/>
    <w:rsid w:val="57915288"/>
    <w:rsid w:val="57AA381D"/>
    <w:rsid w:val="57AD37D2"/>
    <w:rsid w:val="57AD6E19"/>
    <w:rsid w:val="57B91DA5"/>
    <w:rsid w:val="57BE49C2"/>
    <w:rsid w:val="57C728B8"/>
    <w:rsid w:val="57CE11E3"/>
    <w:rsid w:val="57CE5F87"/>
    <w:rsid w:val="57D30DD4"/>
    <w:rsid w:val="57DF349A"/>
    <w:rsid w:val="57EF1159"/>
    <w:rsid w:val="57F11066"/>
    <w:rsid w:val="57F24731"/>
    <w:rsid w:val="57F66044"/>
    <w:rsid w:val="58027026"/>
    <w:rsid w:val="58063BF7"/>
    <w:rsid w:val="58203CCF"/>
    <w:rsid w:val="582A404E"/>
    <w:rsid w:val="584B6939"/>
    <w:rsid w:val="585A6CD7"/>
    <w:rsid w:val="58672C9B"/>
    <w:rsid w:val="58692CBA"/>
    <w:rsid w:val="5875340D"/>
    <w:rsid w:val="587F072F"/>
    <w:rsid w:val="58810032"/>
    <w:rsid w:val="58937D46"/>
    <w:rsid w:val="5894706D"/>
    <w:rsid w:val="58A61818"/>
    <w:rsid w:val="58AA3A23"/>
    <w:rsid w:val="58AD0893"/>
    <w:rsid w:val="58B20FE4"/>
    <w:rsid w:val="58BA0997"/>
    <w:rsid w:val="58BD4DB3"/>
    <w:rsid w:val="58CA3B29"/>
    <w:rsid w:val="58CF426B"/>
    <w:rsid w:val="58D91ECE"/>
    <w:rsid w:val="58EA204C"/>
    <w:rsid w:val="58EB36CF"/>
    <w:rsid w:val="58EF1411"/>
    <w:rsid w:val="58FA1B64"/>
    <w:rsid w:val="59077600"/>
    <w:rsid w:val="590D2431"/>
    <w:rsid w:val="591D33DC"/>
    <w:rsid w:val="59351B41"/>
    <w:rsid w:val="593B4656"/>
    <w:rsid w:val="593D33A7"/>
    <w:rsid w:val="594324D6"/>
    <w:rsid w:val="594A0E70"/>
    <w:rsid w:val="595A7CD7"/>
    <w:rsid w:val="59705386"/>
    <w:rsid w:val="59744F76"/>
    <w:rsid w:val="597C07CB"/>
    <w:rsid w:val="59822285"/>
    <w:rsid w:val="598F49A2"/>
    <w:rsid w:val="599505C2"/>
    <w:rsid w:val="59A3044D"/>
    <w:rsid w:val="59B2047A"/>
    <w:rsid w:val="59BA61A6"/>
    <w:rsid w:val="59BD6483"/>
    <w:rsid w:val="59C83A10"/>
    <w:rsid w:val="59C83E99"/>
    <w:rsid w:val="59CE54CA"/>
    <w:rsid w:val="59E24A91"/>
    <w:rsid w:val="59E83F35"/>
    <w:rsid w:val="59EC76FE"/>
    <w:rsid w:val="59ED19D3"/>
    <w:rsid w:val="59EE7681"/>
    <w:rsid w:val="59F20A8D"/>
    <w:rsid w:val="59FF039A"/>
    <w:rsid w:val="5A025174"/>
    <w:rsid w:val="5A063FDD"/>
    <w:rsid w:val="5A0B248D"/>
    <w:rsid w:val="5A0D4B50"/>
    <w:rsid w:val="5A11262D"/>
    <w:rsid w:val="5A1F4B06"/>
    <w:rsid w:val="5A224D41"/>
    <w:rsid w:val="5A2C6CCC"/>
    <w:rsid w:val="5A3038E2"/>
    <w:rsid w:val="5A3D0F3D"/>
    <w:rsid w:val="5A4C1B9B"/>
    <w:rsid w:val="5A5D684E"/>
    <w:rsid w:val="5A6632EE"/>
    <w:rsid w:val="5A6C5756"/>
    <w:rsid w:val="5A8550FA"/>
    <w:rsid w:val="5AA63D51"/>
    <w:rsid w:val="5AD1334B"/>
    <w:rsid w:val="5AD13993"/>
    <w:rsid w:val="5AD3266C"/>
    <w:rsid w:val="5ADC5E19"/>
    <w:rsid w:val="5AEA1C21"/>
    <w:rsid w:val="5AF0530A"/>
    <w:rsid w:val="5B0C1EA3"/>
    <w:rsid w:val="5B0F2AC8"/>
    <w:rsid w:val="5B1E7D8B"/>
    <w:rsid w:val="5B2C7E05"/>
    <w:rsid w:val="5B321930"/>
    <w:rsid w:val="5B325C2D"/>
    <w:rsid w:val="5B3E0EFE"/>
    <w:rsid w:val="5B405DDB"/>
    <w:rsid w:val="5B44750B"/>
    <w:rsid w:val="5B4A6DD2"/>
    <w:rsid w:val="5B5378B5"/>
    <w:rsid w:val="5B557525"/>
    <w:rsid w:val="5B5C33E8"/>
    <w:rsid w:val="5B690BDE"/>
    <w:rsid w:val="5B795BBB"/>
    <w:rsid w:val="5B8F2A37"/>
    <w:rsid w:val="5B8F47E5"/>
    <w:rsid w:val="5B9462A0"/>
    <w:rsid w:val="5B9B1B49"/>
    <w:rsid w:val="5BA21566"/>
    <w:rsid w:val="5BA33229"/>
    <w:rsid w:val="5BB23C01"/>
    <w:rsid w:val="5BBA0F4C"/>
    <w:rsid w:val="5BC134D0"/>
    <w:rsid w:val="5BD32F24"/>
    <w:rsid w:val="5BE21435"/>
    <w:rsid w:val="5BEB6CF0"/>
    <w:rsid w:val="5BF637F1"/>
    <w:rsid w:val="5C142F3C"/>
    <w:rsid w:val="5C18371C"/>
    <w:rsid w:val="5C21638E"/>
    <w:rsid w:val="5C362B48"/>
    <w:rsid w:val="5C522233"/>
    <w:rsid w:val="5C5525AE"/>
    <w:rsid w:val="5C557E28"/>
    <w:rsid w:val="5C585351"/>
    <w:rsid w:val="5C60526B"/>
    <w:rsid w:val="5C900766"/>
    <w:rsid w:val="5C9D75E4"/>
    <w:rsid w:val="5CB4290A"/>
    <w:rsid w:val="5CBD7499"/>
    <w:rsid w:val="5CCC2EFD"/>
    <w:rsid w:val="5CD31049"/>
    <w:rsid w:val="5CD85A7F"/>
    <w:rsid w:val="5CEC4EB2"/>
    <w:rsid w:val="5CF462D6"/>
    <w:rsid w:val="5D060B6D"/>
    <w:rsid w:val="5D0725DE"/>
    <w:rsid w:val="5D156F6C"/>
    <w:rsid w:val="5D213B63"/>
    <w:rsid w:val="5D2673CB"/>
    <w:rsid w:val="5D325D70"/>
    <w:rsid w:val="5D3814EF"/>
    <w:rsid w:val="5D414205"/>
    <w:rsid w:val="5D4D4C28"/>
    <w:rsid w:val="5D55380D"/>
    <w:rsid w:val="5D575810"/>
    <w:rsid w:val="5D604BBB"/>
    <w:rsid w:val="5D666394"/>
    <w:rsid w:val="5D677EDE"/>
    <w:rsid w:val="5D6F74D0"/>
    <w:rsid w:val="5D7243BE"/>
    <w:rsid w:val="5D762921"/>
    <w:rsid w:val="5D7C348F"/>
    <w:rsid w:val="5D8229F6"/>
    <w:rsid w:val="5D9E51B4"/>
    <w:rsid w:val="5DA00CEF"/>
    <w:rsid w:val="5DB3244B"/>
    <w:rsid w:val="5DC44F96"/>
    <w:rsid w:val="5DDC7A8A"/>
    <w:rsid w:val="5DE0273B"/>
    <w:rsid w:val="5DE700B2"/>
    <w:rsid w:val="5DEA03F9"/>
    <w:rsid w:val="5DEA6B18"/>
    <w:rsid w:val="5DEC24E3"/>
    <w:rsid w:val="5DED0F34"/>
    <w:rsid w:val="5DF94AE0"/>
    <w:rsid w:val="5DFC4103"/>
    <w:rsid w:val="5E00621A"/>
    <w:rsid w:val="5E0170BB"/>
    <w:rsid w:val="5E070FAB"/>
    <w:rsid w:val="5E0A0A9B"/>
    <w:rsid w:val="5E0A6086"/>
    <w:rsid w:val="5E111E29"/>
    <w:rsid w:val="5E20206C"/>
    <w:rsid w:val="5E205892"/>
    <w:rsid w:val="5E313E6B"/>
    <w:rsid w:val="5E316028"/>
    <w:rsid w:val="5E4B3BBF"/>
    <w:rsid w:val="5E5937C0"/>
    <w:rsid w:val="5E652175"/>
    <w:rsid w:val="5E6D09B3"/>
    <w:rsid w:val="5E740F71"/>
    <w:rsid w:val="5E7564D2"/>
    <w:rsid w:val="5E7A7EB3"/>
    <w:rsid w:val="5E7D6818"/>
    <w:rsid w:val="5E864EED"/>
    <w:rsid w:val="5E873E9A"/>
    <w:rsid w:val="5E9118C1"/>
    <w:rsid w:val="5E953D93"/>
    <w:rsid w:val="5E9E69D3"/>
    <w:rsid w:val="5EA9054D"/>
    <w:rsid w:val="5EAC56AE"/>
    <w:rsid w:val="5EAF287D"/>
    <w:rsid w:val="5EBB1D20"/>
    <w:rsid w:val="5ED56729"/>
    <w:rsid w:val="5EEB267A"/>
    <w:rsid w:val="5EF552D1"/>
    <w:rsid w:val="5EFE7DB8"/>
    <w:rsid w:val="5F045CC7"/>
    <w:rsid w:val="5F061262"/>
    <w:rsid w:val="5F09445F"/>
    <w:rsid w:val="5F0C4A6C"/>
    <w:rsid w:val="5F213667"/>
    <w:rsid w:val="5F2273AC"/>
    <w:rsid w:val="5F236CF3"/>
    <w:rsid w:val="5F3518B9"/>
    <w:rsid w:val="5F50072F"/>
    <w:rsid w:val="5F5226F9"/>
    <w:rsid w:val="5F5E4DF0"/>
    <w:rsid w:val="5F671240"/>
    <w:rsid w:val="5F6C37FA"/>
    <w:rsid w:val="5F6E0BB6"/>
    <w:rsid w:val="5F886918"/>
    <w:rsid w:val="5F8C7439"/>
    <w:rsid w:val="5F921A64"/>
    <w:rsid w:val="5F960572"/>
    <w:rsid w:val="5F963370"/>
    <w:rsid w:val="5FB33023"/>
    <w:rsid w:val="5FBF47D9"/>
    <w:rsid w:val="5FC405A4"/>
    <w:rsid w:val="5FC7040C"/>
    <w:rsid w:val="5FD26964"/>
    <w:rsid w:val="5FD961BB"/>
    <w:rsid w:val="5FE175D9"/>
    <w:rsid w:val="5FEB1311"/>
    <w:rsid w:val="5FEE03B1"/>
    <w:rsid w:val="5FF4437E"/>
    <w:rsid w:val="5FF9368B"/>
    <w:rsid w:val="5FFA0E12"/>
    <w:rsid w:val="6005151A"/>
    <w:rsid w:val="60180439"/>
    <w:rsid w:val="60201594"/>
    <w:rsid w:val="602816AC"/>
    <w:rsid w:val="60287CCB"/>
    <w:rsid w:val="602D3032"/>
    <w:rsid w:val="603340C9"/>
    <w:rsid w:val="603E4012"/>
    <w:rsid w:val="604713CD"/>
    <w:rsid w:val="6057789C"/>
    <w:rsid w:val="607956D4"/>
    <w:rsid w:val="607C6156"/>
    <w:rsid w:val="608479A5"/>
    <w:rsid w:val="608965ED"/>
    <w:rsid w:val="608C6245"/>
    <w:rsid w:val="60947841"/>
    <w:rsid w:val="60A2320D"/>
    <w:rsid w:val="60AF592A"/>
    <w:rsid w:val="60C435B4"/>
    <w:rsid w:val="60C45590"/>
    <w:rsid w:val="60C72C73"/>
    <w:rsid w:val="60C77A69"/>
    <w:rsid w:val="60D13AF2"/>
    <w:rsid w:val="60D158CA"/>
    <w:rsid w:val="60E71F1C"/>
    <w:rsid w:val="61025A59"/>
    <w:rsid w:val="61097FDD"/>
    <w:rsid w:val="610A2119"/>
    <w:rsid w:val="610D1192"/>
    <w:rsid w:val="61113EEE"/>
    <w:rsid w:val="612C4C5D"/>
    <w:rsid w:val="61354447"/>
    <w:rsid w:val="61412A26"/>
    <w:rsid w:val="61482832"/>
    <w:rsid w:val="614C5BE9"/>
    <w:rsid w:val="614D1A13"/>
    <w:rsid w:val="61540A3C"/>
    <w:rsid w:val="61747218"/>
    <w:rsid w:val="617D0E15"/>
    <w:rsid w:val="618B5A4F"/>
    <w:rsid w:val="618C6102"/>
    <w:rsid w:val="619172F9"/>
    <w:rsid w:val="61932560"/>
    <w:rsid w:val="61971F8B"/>
    <w:rsid w:val="61B07DBB"/>
    <w:rsid w:val="61B125A8"/>
    <w:rsid w:val="61B215AD"/>
    <w:rsid w:val="61B527E1"/>
    <w:rsid w:val="61B61DA1"/>
    <w:rsid w:val="61BD1AF0"/>
    <w:rsid w:val="61CE3B8D"/>
    <w:rsid w:val="61D57735"/>
    <w:rsid w:val="61DC62AA"/>
    <w:rsid w:val="61E60C16"/>
    <w:rsid w:val="61F950AE"/>
    <w:rsid w:val="61F96E5C"/>
    <w:rsid w:val="61FA42A9"/>
    <w:rsid w:val="61FD797A"/>
    <w:rsid w:val="62023951"/>
    <w:rsid w:val="620C0953"/>
    <w:rsid w:val="62122F41"/>
    <w:rsid w:val="62206ADF"/>
    <w:rsid w:val="62287742"/>
    <w:rsid w:val="622C7557"/>
    <w:rsid w:val="62393056"/>
    <w:rsid w:val="62397BA1"/>
    <w:rsid w:val="62411760"/>
    <w:rsid w:val="624B3057"/>
    <w:rsid w:val="625E545A"/>
    <w:rsid w:val="626A6936"/>
    <w:rsid w:val="626A7D5A"/>
    <w:rsid w:val="626D5B3C"/>
    <w:rsid w:val="62730775"/>
    <w:rsid w:val="62737F2C"/>
    <w:rsid w:val="627402C5"/>
    <w:rsid w:val="6286297E"/>
    <w:rsid w:val="629C5290"/>
    <w:rsid w:val="629D1EDE"/>
    <w:rsid w:val="62A022B2"/>
    <w:rsid w:val="62A51693"/>
    <w:rsid w:val="62C81FB4"/>
    <w:rsid w:val="62CC4288"/>
    <w:rsid w:val="62D339C7"/>
    <w:rsid w:val="62FA10DE"/>
    <w:rsid w:val="63024132"/>
    <w:rsid w:val="631A1780"/>
    <w:rsid w:val="631F0B45"/>
    <w:rsid w:val="6324615B"/>
    <w:rsid w:val="632C31C6"/>
    <w:rsid w:val="63763EA7"/>
    <w:rsid w:val="637B1AF3"/>
    <w:rsid w:val="637C7795"/>
    <w:rsid w:val="639B34E7"/>
    <w:rsid w:val="63A7155D"/>
    <w:rsid w:val="63A83A49"/>
    <w:rsid w:val="63BC2837"/>
    <w:rsid w:val="63C03819"/>
    <w:rsid w:val="63C22B68"/>
    <w:rsid w:val="63F515FE"/>
    <w:rsid w:val="64025D70"/>
    <w:rsid w:val="64053973"/>
    <w:rsid w:val="6413495B"/>
    <w:rsid w:val="641A7B26"/>
    <w:rsid w:val="64267CB1"/>
    <w:rsid w:val="643B7C00"/>
    <w:rsid w:val="64460353"/>
    <w:rsid w:val="644B5969"/>
    <w:rsid w:val="644D348F"/>
    <w:rsid w:val="645111D2"/>
    <w:rsid w:val="64653A08"/>
    <w:rsid w:val="646B7DB9"/>
    <w:rsid w:val="646D79DF"/>
    <w:rsid w:val="64704AD9"/>
    <w:rsid w:val="64740A73"/>
    <w:rsid w:val="64BE25DF"/>
    <w:rsid w:val="64D13220"/>
    <w:rsid w:val="64DA2ADC"/>
    <w:rsid w:val="64DC0D73"/>
    <w:rsid w:val="64E04504"/>
    <w:rsid w:val="64E868B7"/>
    <w:rsid w:val="64ED07CF"/>
    <w:rsid w:val="64FE47C6"/>
    <w:rsid w:val="65017BDA"/>
    <w:rsid w:val="65066664"/>
    <w:rsid w:val="65295CAB"/>
    <w:rsid w:val="652F351F"/>
    <w:rsid w:val="65311F5C"/>
    <w:rsid w:val="653D3504"/>
    <w:rsid w:val="65490C4F"/>
    <w:rsid w:val="655330A2"/>
    <w:rsid w:val="655B3D10"/>
    <w:rsid w:val="65646CE3"/>
    <w:rsid w:val="656803F4"/>
    <w:rsid w:val="656B4F8E"/>
    <w:rsid w:val="656C3DE9"/>
    <w:rsid w:val="65752C9E"/>
    <w:rsid w:val="657E7482"/>
    <w:rsid w:val="65870C23"/>
    <w:rsid w:val="65960E66"/>
    <w:rsid w:val="659C4CD1"/>
    <w:rsid w:val="65AB66C0"/>
    <w:rsid w:val="65C854C3"/>
    <w:rsid w:val="65DC3830"/>
    <w:rsid w:val="65E21213"/>
    <w:rsid w:val="65E9186A"/>
    <w:rsid w:val="65EE2D3C"/>
    <w:rsid w:val="65F53153"/>
    <w:rsid w:val="65FC43FF"/>
    <w:rsid w:val="660411DF"/>
    <w:rsid w:val="66052A3F"/>
    <w:rsid w:val="661A1A97"/>
    <w:rsid w:val="66271C0C"/>
    <w:rsid w:val="664A237C"/>
    <w:rsid w:val="664E34EF"/>
    <w:rsid w:val="66532A71"/>
    <w:rsid w:val="665D10A1"/>
    <w:rsid w:val="6660394E"/>
    <w:rsid w:val="6661490F"/>
    <w:rsid w:val="667D53C3"/>
    <w:rsid w:val="668334CF"/>
    <w:rsid w:val="6683763C"/>
    <w:rsid w:val="668533B4"/>
    <w:rsid w:val="668A6C2F"/>
    <w:rsid w:val="6696043B"/>
    <w:rsid w:val="66A355E9"/>
    <w:rsid w:val="66A9783B"/>
    <w:rsid w:val="66AD7887"/>
    <w:rsid w:val="66AF21DF"/>
    <w:rsid w:val="66B650CD"/>
    <w:rsid w:val="66B70281"/>
    <w:rsid w:val="66B9598C"/>
    <w:rsid w:val="66E8749F"/>
    <w:rsid w:val="66F44096"/>
    <w:rsid w:val="67095D94"/>
    <w:rsid w:val="670C7632"/>
    <w:rsid w:val="67137D49"/>
    <w:rsid w:val="67194BD2"/>
    <w:rsid w:val="6727621A"/>
    <w:rsid w:val="672E0EA7"/>
    <w:rsid w:val="672F3F8C"/>
    <w:rsid w:val="673B7F17"/>
    <w:rsid w:val="674F272E"/>
    <w:rsid w:val="6760215E"/>
    <w:rsid w:val="677235CC"/>
    <w:rsid w:val="677B0314"/>
    <w:rsid w:val="67851192"/>
    <w:rsid w:val="67915D89"/>
    <w:rsid w:val="679305F0"/>
    <w:rsid w:val="67956759"/>
    <w:rsid w:val="67B445FE"/>
    <w:rsid w:val="67D619EE"/>
    <w:rsid w:val="67EA4979"/>
    <w:rsid w:val="67EC2FBF"/>
    <w:rsid w:val="67F32B51"/>
    <w:rsid w:val="67F45998"/>
    <w:rsid w:val="68012574"/>
    <w:rsid w:val="68280699"/>
    <w:rsid w:val="68297D70"/>
    <w:rsid w:val="682C0C44"/>
    <w:rsid w:val="6832552C"/>
    <w:rsid w:val="683C7AA3"/>
    <w:rsid w:val="684B20EA"/>
    <w:rsid w:val="68567BB0"/>
    <w:rsid w:val="68604A1A"/>
    <w:rsid w:val="686139AD"/>
    <w:rsid w:val="687507F3"/>
    <w:rsid w:val="688674AD"/>
    <w:rsid w:val="688C6650"/>
    <w:rsid w:val="689527E7"/>
    <w:rsid w:val="689F013F"/>
    <w:rsid w:val="68B26466"/>
    <w:rsid w:val="68BA0A96"/>
    <w:rsid w:val="68C11353"/>
    <w:rsid w:val="68C9662D"/>
    <w:rsid w:val="68D479CC"/>
    <w:rsid w:val="68DC34F8"/>
    <w:rsid w:val="68E436E9"/>
    <w:rsid w:val="68EA39A3"/>
    <w:rsid w:val="68ED61FD"/>
    <w:rsid w:val="68EF4360"/>
    <w:rsid w:val="68F37718"/>
    <w:rsid w:val="68F54590"/>
    <w:rsid w:val="68F62348"/>
    <w:rsid w:val="6901700E"/>
    <w:rsid w:val="69020CEC"/>
    <w:rsid w:val="690F6F65"/>
    <w:rsid w:val="69146445"/>
    <w:rsid w:val="69270C14"/>
    <w:rsid w:val="69290C82"/>
    <w:rsid w:val="69356D42"/>
    <w:rsid w:val="693B7443"/>
    <w:rsid w:val="69421933"/>
    <w:rsid w:val="6948663D"/>
    <w:rsid w:val="69513A22"/>
    <w:rsid w:val="69624644"/>
    <w:rsid w:val="69635503"/>
    <w:rsid w:val="69653029"/>
    <w:rsid w:val="696A3D0A"/>
    <w:rsid w:val="6974326C"/>
    <w:rsid w:val="69794D27"/>
    <w:rsid w:val="69845BA5"/>
    <w:rsid w:val="69872802"/>
    <w:rsid w:val="698A2A90"/>
    <w:rsid w:val="698F00A6"/>
    <w:rsid w:val="69932445"/>
    <w:rsid w:val="699370BB"/>
    <w:rsid w:val="699D0A15"/>
    <w:rsid w:val="69A347F8"/>
    <w:rsid w:val="69A73642"/>
    <w:rsid w:val="69B8047A"/>
    <w:rsid w:val="69BF40E9"/>
    <w:rsid w:val="69C814C5"/>
    <w:rsid w:val="69D07170"/>
    <w:rsid w:val="69D501AF"/>
    <w:rsid w:val="69DB153D"/>
    <w:rsid w:val="69DD6925"/>
    <w:rsid w:val="69E41B52"/>
    <w:rsid w:val="69E44896"/>
    <w:rsid w:val="69EC399F"/>
    <w:rsid w:val="69F85C4B"/>
    <w:rsid w:val="69F8719C"/>
    <w:rsid w:val="6A074ED9"/>
    <w:rsid w:val="6A1D11CC"/>
    <w:rsid w:val="6A2D0423"/>
    <w:rsid w:val="6A2F4CA4"/>
    <w:rsid w:val="6A3874D3"/>
    <w:rsid w:val="6A507835"/>
    <w:rsid w:val="6A547C4C"/>
    <w:rsid w:val="6A562D25"/>
    <w:rsid w:val="6A5F4264"/>
    <w:rsid w:val="6A697710"/>
    <w:rsid w:val="6A874168"/>
    <w:rsid w:val="6A880273"/>
    <w:rsid w:val="6AA13EB7"/>
    <w:rsid w:val="6AB37DC4"/>
    <w:rsid w:val="6AB643D2"/>
    <w:rsid w:val="6AC81AC2"/>
    <w:rsid w:val="6ACE36D7"/>
    <w:rsid w:val="6AF6632F"/>
    <w:rsid w:val="6B0D21C2"/>
    <w:rsid w:val="6B2F1B41"/>
    <w:rsid w:val="6B321631"/>
    <w:rsid w:val="6B3C457A"/>
    <w:rsid w:val="6B3E1D84"/>
    <w:rsid w:val="6B405AFC"/>
    <w:rsid w:val="6B431148"/>
    <w:rsid w:val="6B43705A"/>
    <w:rsid w:val="6B4D1FC7"/>
    <w:rsid w:val="6B596AE7"/>
    <w:rsid w:val="6B606BB9"/>
    <w:rsid w:val="6B6317EA"/>
    <w:rsid w:val="6B6F018F"/>
    <w:rsid w:val="6B6F4633"/>
    <w:rsid w:val="6B7B2364"/>
    <w:rsid w:val="6B814FBA"/>
    <w:rsid w:val="6B8513E6"/>
    <w:rsid w:val="6B99345E"/>
    <w:rsid w:val="6BA50055"/>
    <w:rsid w:val="6BB12556"/>
    <w:rsid w:val="6BBD0EFB"/>
    <w:rsid w:val="6BC04AF9"/>
    <w:rsid w:val="6BCB4B88"/>
    <w:rsid w:val="6BD050D2"/>
    <w:rsid w:val="6BD56D48"/>
    <w:rsid w:val="6BF54B38"/>
    <w:rsid w:val="6BFA0974"/>
    <w:rsid w:val="6BFE37C3"/>
    <w:rsid w:val="6BFF647F"/>
    <w:rsid w:val="6C166D74"/>
    <w:rsid w:val="6C184383"/>
    <w:rsid w:val="6C1E7E85"/>
    <w:rsid w:val="6C4362DE"/>
    <w:rsid w:val="6C5F6456"/>
    <w:rsid w:val="6C847C6A"/>
    <w:rsid w:val="6C897D93"/>
    <w:rsid w:val="6C92570B"/>
    <w:rsid w:val="6C98353A"/>
    <w:rsid w:val="6C9C4FB4"/>
    <w:rsid w:val="6C9F2CF6"/>
    <w:rsid w:val="6CA4030D"/>
    <w:rsid w:val="6CA51B40"/>
    <w:rsid w:val="6CAB0FAD"/>
    <w:rsid w:val="6CAF118B"/>
    <w:rsid w:val="6CB93DB8"/>
    <w:rsid w:val="6CBA368C"/>
    <w:rsid w:val="6CE66E4C"/>
    <w:rsid w:val="6CF125AC"/>
    <w:rsid w:val="6D0F39D8"/>
    <w:rsid w:val="6D2B2B4B"/>
    <w:rsid w:val="6D2B69B4"/>
    <w:rsid w:val="6D3A657B"/>
    <w:rsid w:val="6D3D4E99"/>
    <w:rsid w:val="6D412587"/>
    <w:rsid w:val="6D47503A"/>
    <w:rsid w:val="6D4F7310"/>
    <w:rsid w:val="6D837F22"/>
    <w:rsid w:val="6D91400F"/>
    <w:rsid w:val="6D963296"/>
    <w:rsid w:val="6D983849"/>
    <w:rsid w:val="6D9B5487"/>
    <w:rsid w:val="6D9E4D5C"/>
    <w:rsid w:val="6DA10DE2"/>
    <w:rsid w:val="6DAC7479"/>
    <w:rsid w:val="6DB13A3A"/>
    <w:rsid w:val="6DB92E8C"/>
    <w:rsid w:val="6DBD1B0B"/>
    <w:rsid w:val="6DD2319A"/>
    <w:rsid w:val="6DE1035A"/>
    <w:rsid w:val="6DE46AE6"/>
    <w:rsid w:val="6E146DCC"/>
    <w:rsid w:val="6E1D4FAB"/>
    <w:rsid w:val="6E2E7E8E"/>
    <w:rsid w:val="6E30641A"/>
    <w:rsid w:val="6E326411"/>
    <w:rsid w:val="6E373CA1"/>
    <w:rsid w:val="6E397DDC"/>
    <w:rsid w:val="6E41031B"/>
    <w:rsid w:val="6E4854CC"/>
    <w:rsid w:val="6E533166"/>
    <w:rsid w:val="6E6320B1"/>
    <w:rsid w:val="6E665D92"/>
    <w:rsid w:val="6E731D44"/>
    <w:rsid w:val="6E783FDB"/>
    <w:rsid w:val="6E8126B3"/>
    <w:rsid w:val="6E890008"/>
    <w:rsid w:val="6EA445F4"/>
    <w:rsid w:val="6EA9779F"/>
    <w:rsid w:val="6EC3626A"/>
    <w:rsid w:val="6EE034C1"/>
    <w:rsid w:val="6EE7387C"/>
    <w:rsid w:val="6EEA3983"/>
    <w:rsid w:val="6EEB3FD1"/>
    <w:rsid w:val="6EEC4925"/>
    <w:rsid w:val="6F285225"/>
    <w:rsid w:val="6F2C6B18"/>
    <w:rsid w:val="6F6535B7"/>
    <w:rsid w:val="6F663B69"/>
    <w:rsid w:val="6F7448BD"/>
    <w:rsid w:val="6F755961"/>
    <w:rsid w:val="6F7C10CD"/>
    <w:rsid w:val="6F7E58A5"/>
    <w:rsid w:val="6F903D2A"/>
    <w:rsid w:val="6FA96203"/>
    <w:rsid w:val="6FAF14A2"/>
    <w:rsid w:val="6FB22D40"/>
    <w:rsid w:val="6FC00FB9"/>
    <w:rsid w:val="6FC220BB"/>
    <w:rsid w:val="6FC30AAA"/>
    <w:rsid w:val="6FC36CFC"/>
    <w:rsid w:val="6FD1766A"/>
    <w:rsid w:val="6FD70881"/>
    <w:rsid w:val="6FDD774B"/>
    <w:rsid w:val="6FDF3C0D"/>
    <w:rsid w:val="6FE32EFA"/>
    <w:rsid w:val="6FE53343"/>
    <w:rsid w:val="6FE95315"/>
    <w:rsid w:val="6FEF0DD3"/>
    <w:rsid w:val="6FF15661"/>
    <w:rsid w:val="701276DE"/>
    <w:rsid w:val="70161521"/>
    <w:rsid w:val="701A7903"/>
    <w:rsid w:val="70211FB3"/>
    <w:rsid w:val="70491057"/>
    <w:rsid w:val="705176E8"/>
    <w:rsid w:val="705B4414"/>
    <w:rsid w:val="70657E2C"/>
    <w:rsid w:val="706E4BAF"/>
    <w:rsid w:val="70744BF2"/>
    <w:rsid w:val="7083570E"/>
    <w:rsid w:val="708C4DF0"/>
    <w:rsid w:val="70977E53"/>
    <w:rsid w:val="709E7D32"/>
    <w:rsid w:val="70A803F3"/>
    <w:rsid w:val="70AD25A5"/>
    <w:rsid w:val="70AD67FB"/>
    <w:rsid w:val="70C07F2D"/>
    <w:rsid w:val="70C63D5E"/>
    <w:rsid w:val="70C877EF"/>
    <w:rsid w:val="70C940EB"/>
    <w:rsid w:val="70EC2440"/>
    <w:rsid w:val="70F53B43"/>
    <w:rsid w:val="710F61AD"/>
    <w:rsid w:val="71123A97"/>
    <w:rsid w:val="71141249"/>
    <w:rsid w:val="71282B8A"/>
    <w:rsid w:val="71341C5F"/>
    <w:rsid w:val="713871F6"/>
    <w:rsid w:val="713F30F3"/>
    <w:rsid w:val="71416FE1"/>
    <w:rsid w:val="715C71A6"/>
    <w:rsid w:val="716D33C3"/>
    <w:rsid w:val="7185070D"/>
    <w:rsid w:val="718A336B"/>
    <w:rsid w:val="718E0485"/>
    <w:rsid w:val="71932031"/>
    <w:rsid w:val="719F32E1"/>
    <w:rsid w:val="71A6128D"/>
    <w:rsid w:val="71B11502"/>
    <w:rsid w:val="71C04C3B"/>
    <w:rsid w:val="71C13AE7"/>
    <w:rsid w:val="71C50E14"/>
    <w:rsid w:val="71C56D5B"/>
    <w:rsid w:val="71CB0986"/>
    <w:rsid w:val="71CB1173"/>
    <w:rsid w:val="71D0024E"/>
    <w:rsid w:val="71D00282"/>
    <w:rsid w:val="71D40D4C"/>
    <w:rsid w:val="71DF2282"/>
    <w:rsid w:val="72050A7D"/>
    <w:rsid w:val="72181B00"/>
    <w:rsid w:val="722C13C8"/>
    <w:rsid w:val="722F2426"/>
    <w:rsid w:val="72303C17"/>
    <w:rsid w:val="723B6C1F"/>
    <w:rsid w:val="723F1D7F"/>
    <w:rsid w:val="723F4B58"/>
    <w:rsid w:val="72404633"/>
    <w:rsid w:val="72513145"/>
    <w:rsid w:val="72534367"/>
    <w:rsid w:val="725A11ED"/>
    <w:rsid w:val="725A52A9"/>
    <w:rsid w:val="725D3437"/>
    <w:rsid w:val="726447C6"/>
    <w:rsid w:val="728D7D7F"/>
    <w:rsid w:val="729A3A99"/>
    <w:rsid w:val="72A11E90"/>
    <w:rsid w:val="72B50B7E"/>
    <w:rsid w:val="72B55021"/>
    <w:rsid w:val="72D95028"/>
    <w:rsid w:val="72DA05E4"/>
    <w:rsid w:val="72DA4A88"/>
    <w:rsid w:val="72DD1E82"/>
    <w:rsid w:val="72E256EB"/>
    <w:rsid w:val="72E27499"/>
    <w:rsid w:val="72E35B70"/>
    <w:rsid w:val="72E4201F"/>
    <w:rsid w:val="72E5436B"/>
    <w:rsid w:val="72EC4389"/>
    <w:rsid w:val="72EE7853"/>
    <w:rsid w:val="72F444B3"/>
    <w:rsid w:val="730F3566"/>
    <w:rsid w:val="731004AA"/>
    <w:rsid w:val="732D4EF1"/>
    <w:rsid w:val="732F7BED"/>
    <w:rsid w:val="733710E6"/>
    <w:rsid w:val="733C482B"/>
    <w:rsid w:val="734131F0"/>
    <w:rsid w:val="734542C6"/>
    <w:rsid w:val="734B0C1B"/>
    <w:rsid w:val="735136BE"/>
    <w:rsid w:val="735477CE"/>
    <w:rsid w:val="73584C2C"/>
    <w:rsid w:val="736058DE"/>
    <w:rsid w:val="736646CD"/>
    <w:rsid w:val="736E51D0"/>
    <w:rsid w:val="736F3337"/>
    <w:rsid w:val="737E36D9"/>
    <w:rsid w:val="737F171E"/>
    <w:rsid w:val="738B0D99"/>
    <w:rsid w:val="738B5D82"/>
    <w:rsid w:val="73993FFB"/>
    <w:rsid w:val="73BF185E"/>
    <w:rsid w:val="73D31188"/>
    <w:rsid w:val="73D50C06"/>
    <w:rsid w:val="73E91F9D"/>
    <w:rsid w:val="73EF1E6D"/>
    <w:rsid w:val="73F71F01"/>
    <w:rsid w:val="74074FB5"/>
    <w:rsid w:val="74143FCA"/>
    <w:rsid w:val="74151BBE"/>
    <w:rsid w:val="74191671"/>
    <w:rsid w:val="743123E5"/>
    <w:rsid w:val="743B50B2"/>
    <w:rsid w:val="7460742F"/>
    <w:rsid w:val="74736F42"/>
    <w:rsid w:val="74795BDB"/>
    <w:rsid w:val="748A603A"/>
    <w:rsid w:val="749859F3"/>
    <w:rsid w:val="74A406AA"/>
    <w:rsid w:val="74A72748"/>
    <w:rsid w:val="74B80DF9"/>
    <w:rsid w:val="74CC21AE"/>
    <w:rsid w:val="74D177C5"/>
    <w:rsid w:val="74E37544"/>
    <w:rsid w:val="74E448BD"/>
    <w:rsid w:val="74E7031C"/>
    <w:rsid w:val="74EC64FF"/>
    <w:rsid w:val="74EC6643"/>
    <w:rsid w:val="74F76360"/>
    <w:rsid w:val="74FD37C2"/>
    <w:rsid w:val="74FF2584"/>
    <w:rsid w:val="75055E1F"/>
    <w:rsid w:val="75084155"/>
    <w:rsid w:val="750B0F29"/>
    <w:rsid w:val="750E2E16"/>
    <w:rsid w:val="75151DA7"/>
    <w:rsid w:val="75153382"/>
    <w:rsid w:val="75277BF9"/>
    <w:rsid w:val="752E2F75"/>
    <w:rsid w:val="752F2F5A"/>
    <w:rsid w:val="7533325D"/>
    <w:rsid w:val="75493500"/>
    <w:rsid w:val="75501031"/>
    <w:rsid w:val="75614FED"/>
    <w:rsid w:val="75664D9D"/>
    <w:rsid w:val="7567179F"/>
    <w:rsid w:val="757928B8"/>
    <w:rsid w:val="75857121"/>
    <w:rsid w:val="75930F1E"/>
    <w:rsid w:val="75985B41"/>
    <w:rsid w:val="759B5DD1"/>
    <w:rsid w:val="759C2828"/>
    <w:rsid w:val="759C7839"/>
    <w:rsid w:val="75A33A4C"/>
    <w:rsid w:val="75CA3CB7"/>
    <w:rsid w:val="75CB6EB8"/>
    <w:rsid w:val="75D4756D"/>
    <w:rsid w:val="75E86FC4"/>
    <w:rsid w:val="75ED3077"/>
    <w:rsid w:val="76067942"/>
    <w:rsid w:val="760F7810"/>
    <w:rsid w:val="76164C87"/>
    <w:rsid w:val="761A05FF"/>
    <w:rsid w:val="76220B81"/>
    <w:rsid w:val="763831D7"/>
    <w:rsid w:val="763D7366"/>
    <w:rsid w:val="76422A0E"/>
    <w:rsid w:val="764644BE"/>
    <w:rsid w:val="765D1500"/>
    <w:rsid w:val="766179EA"/>
    <w:rsid w:val="766B0673"/>
    <w:rsid w:val="767074FB"/>
    <w:rsid w:val="767E7D7F"/>
    <w:rsid w:val="76A41B15"/>
    <w:rsid w:val="76A95E03"/>
    <w:rsid w:val="76AC2297"/>
    <w:rsid w:val="76B233B1"/>
    <w:rsid w:val="76B92C06"/>
    <w:rsid w:val="76C7391B"/>
    <w:rsid w:val="76CC293A"/>
    <w:rsid w:val="76E063E5"/>
    <w:rsid w:val="76EE28B0"/>
    <w:rsid w:val="76F04DCD"/>
    <w:rsid w:val="76FD298F"/>
    <w:rsid w:val="7706733D"/>
    <w:rsid w:val="772846B4"/>
    <w:rsid w:val="772848F8"/>
    <w:rsid w:val="772C113F"/>
    <w:rsid w:val="77424BD5"/>
    <w:rsid w:val="77545482"/>
    <w:rsid w:val="77635977"/>
    <w:rsid w:val="776E2436"/>
    <w:rsid w:val="778C6933"/>
    <w:rsid w:val="778D15D1"/>
    <w:rsid w:val="77A57149"/>
    <w:rsid w:val="77AA6519"/>
    <w:rsid w:val="77C11D73"/>
    <w:rsid w:val="77C74EAF"/>
    <w:rsid w:val="77E617D9"/>
    <w:rsid w:val="77FE3268"/>
    <w:rsid w:val="780C14A7"/>
    <w:rsid w:val="78160310"/>
    <w:rsid w:val="7816284F"/>
    <w:rsid w:val="781E0F73"/>
    <w:rsid w:val="781F4CEB"/>
    <w:rsid w:val="78261D0A"/>
    <w:rsid w:val="782C0E9A"/>
    <w:rsid w:val="783537C6"/>
    <w:rsid w:val="78370287"/>
    <w:rsid w:val="783A484A"/>
    <w:rsid w:val="783C3AEF"/>
    <w:rsid w:val="784345B6"/>
    <w:rsid w:val="7849203A"/>
    <w:rsid w:val="784D2408"/>
    <w:rsid w:val="784D2E7F"/>
    <w:rsid w:val="7859644F"/>
    <w:rsid w:val="786372CE"/>
    <w:rsid w:val="78683726"/>
    <w:rsid w:val="786A10D8"/>
    <w:rsid w:val="78734012"/>
    <w:rsid w:val="788B412F"/>
    <w:rsid w:val="78A31478"/>
    <w:rsid w:val="78A91184"/>
    <w:rsid w:val="78AF2513"/>
    <w:rsid w:val="78B07EBD"/>
    <w:rsid w:val="78BD078C"/>
    <w:rsid w:val="78BF0401"/>
    <w:rsid w:val="78C064CE"/>
    <w:rsid w:val="78CF04BF"/>
    <w:rsid w:val="78DD608B"/>
    <w:rsid w:val="78E31178"/>
    <w:rsid w:val="78F7624D"/>
    <w:rsid w:val="79191DB0"/>
    <w:rsid w:val="791E2A60"/>
    <w:rsid w:val="791F1339"/>
    <w:rsid w:val="7921456C"/>
    <w:rsid w:val="79305402"/>
    <w:rsid w:val="793C0FF3"/>
    <w:rsid w:val="797A48CF"/>
    <w:rsid w:val="797F7817"/>
    <w:rsid w:val="79A656C4"/>
    <w:rsid w:val="79AF1F47"/>
    <w:rsid w:val="79B61FED"/>
    <w:rsid w:val="79C20E91"/>
    <w:rsid w:val="79E135B4"/>
    <w:rsid w:val="79EE2BC7"/>
    <w:rsid w:val="79FA4411"/>
    <w:rsid w:val="79FC0881"/>
    <w:rsid w:val="79FE72AE"/>
    <w:rsid w:val="7A027599"/>
    <w:rsid w:val="7A056539"/>
    <w:rsid w:val="7A13262E"/>
    <w:rsid w:val="7A1C14E2"/>
    <w:rsid w:val="7A233DED"/>
    <w:rsid w:val="7A236D15"/>
    <w:rsid w:val="7A2465E9"/>
    <w:rsid w:val="7A4518FD"/>
    <w:rsid w:val="7A4524C1"/>
    <w:rsid w:val="7A48747A"/>
    <w:rsid w:val="7A573ED6"/>
    <w:rsid w:val="7A5C2DDE"/>
    <w:rsid w:val="7A6C1740"/>
    <w:rsid w:val="7A6D17FA"/>
    <w:rsid w:val="7A862E00"/>
    <w:rsid w:val="7A8D3D28"/>
    <w:rsid w:val="7A8F2725"/>
    <w:rsid w:val="7A9A1710"/>
    <w:rsid w:val="7A9E0A3D"/>
    <w:rsid w:val="7AA96973"/>
    <w:rsid w:val="7AB160CE"/>
    <w:rsid w:val="7AC51958"/>
    <w:rsid w:val="7AC8166A"/>
    <w:rsid w:val="7AD539A8"/>
    <w:rsid w:val="7AD601E6"/>
    <w:rsid w:val="7ADA1A14"/>
    <w:rsid w:val="7AF366E7"/>
    <w:rsid w:val="7AFE42F7"/>
    <w:rsid w:val="7B204C45"/>
    <w:rsid w:val="7B271505"/>
    <w:rsid w:val="7B276391"/>
    <w:rsid w:val="7B2A5E81"/>
    <w:rsid w:val="7B2B482B"/>
    <w:rsid w:val="7B3A2568"/>
    <w:rsid w:val="7B4928EB"/>
    <w:rsid w:val="7B4B47B1"/>
    <w:rsid w:val="7B5F0128"/>
    <w:rsid w:val="7B6B51FA"/>
    <w:rsid w:val="7B6C1339"/>
    <w:rsid w:val="7B7139C7"/>
    <w:rsid w:val="7B7517F2"/>
    <w:rsid w:val="7B86755B"/>
    <w:rsid w:val="7BA307A7"/>
    <w:rsid w:val="7BAA6E70"/>
    <w:rsid w:val="7BBC11CF"/>
    <w:rsid w:val="7BCE4A5E"/>
    <w:rsid w:val="7BD61B65"/>
    <w:rsid w:val="7BE95152"/>
    <w:rsid w:val="7C111464"/>
    <w:rsid w:val="7C176405"/>
    <w:rsid w:val="7C317328"/>
    <w:rsid w:val="7C442F72"/>
    <w:rsid w:val="7C66733B"/>
    <w:rsid w:val="7C66738C"/>
    <w:rsid w:val="7C6776A8"/>
    <w:rsid w:val="7C9251FC"/>
    <w:rsid w:val="7C9537CE"/>
    <w:rsid w:val="7C9A0299"/>
    <w:rsid w:val="7CAB4D9F"/>
    <w:rsid w:val="7CB30882"/>
    <w:rsid w:val="7CB33FDF"/>
    <w:rsid w:val="7CB579CC"/>
    <w:rsid w:val="7CB946AE"/>
    <w:rsid w:val="7CCD740C"/>
    <w:rsid w:val="7CD442F6"/>
    <w:rsid w:val="7CD95850"/>
    <w:rsid w:val="7CDC263F"/>
    <w:rsid w:val="7CE1619B"/>
    <w:rsid w:val="7CE44910"/>
    <w:rsid w:val="7CEC7892"/>
    <w:rsid w:val="7CFF424A"/>
    <w:rsid w:val="7CFF4FB5"/>
    <w:rsid w:val="7D1147AF"/>
    <w:rsid w:val="7D2B267F"/>
    <w:rsid w:val="7D32101D"/>
    <w:rsid w:val="7D464C7F"/>
    <w:rsid w:val="7D87580C"/>
    <w:rsid w:val="7D9408B3"/>
    <w:rsid w:val="7D9A26E7"/>
    <w:rsid w:val="7D9A5540"/>
    <w:rsid w:val="7D9D293A"/>
    <w:rsid w:val="7DA70F42"/>
    <w:rsid w:val="7DC93B6B"/>
    <w:rsid w:val="7DD722F0"/>
    <w:rsid w:val="7DDD7503"/>
    <w:rsid w:val="7DED5F50"/>
    <w:rsid w:val="7DF37A0D"/>
    <w:rsid w:val="7DF557AA"/>
    <w:rsid w:val="7DF64B09"/>
    <w:rsid w:val="7E0A32CC"/>
    <w:rsid w:val="7E0D60C0"/>
    <w:rsid w:val="7E0D6A64"/>
    <w:rsid w:val="7E1B48D1"/>
    <w:rsid w:val="7E2A653C"/>
    <w:rsid w:val="7E2E7A36"/>
    <w:rsid w:val="7E360937"/>
    <w:rsid w:val="7E377334"/>
    <w:rsid w:val="7E3E3D08"/>
    <w:rsid w:val="7E3F1B65"/>
    <w:rsid w:val="7E590F57"/>
    <w:rsid w:val="7E6231A5"/>
    <w:rsid w:val="7E7059D0"/>
    <w:rsid w:val="7E717205"/>
    <w:rsid w:val="7E78179C"/>
    <w:rsid w:val="7E874620"/>
    <w:rsid w:val="7E914CA6"/>
    <w:rsid w:val="7EA30424"/>
    <w:rsid w:val="7EBE700C"/>
    <w:rsid w:val="7EC24845"/>
    <w:rsid w:val="7EC902BD"/>
    <w:rsid w:val="7ECA36F2"/>
    <w:rsid w:val="7ECF1219"/>
    <w:rsid w:val="7ECF3BE2"/>
    <w:rsid w:val="7ECF633B"/>
    <w:rsid w:val="7EDC56E4"/>
    <w:rsid w:val="7EF32085"/>
    <w:rsid w:val="7EFC7754"/>
    <w:rsid w:val="7EFC7B34"/>
    <w:rsid w:val="7F0C317F"/>
    <w:rsid w:val="7F0D2827"/>
    <w:rsid w:val="7F1629A4"/>
    <w:rsid w:val="7F201E3D"/>
    <w:rsid w:val="7F214944"/>
    <w:rsid w:val="7F271055"/>
    <w:rsid w:val="7F2A1212"/>
    <w:rsid w:val="7F2C666B"/>
    <w:rsid w:val="7F352E10"/>
    <w:rsid w:val="7F3B26C6"/>
    <w:rsid w:val="7F3F0B61"/>
    <w:rsid w:val="7F482D79"/>
    <w:rsid w:val="7F490F84"/>
    <w:rsid w:val="7F5622BD"/>
    <w:rsid w:val="7F5931D8"/>
    <w:rsid w:val="7F5A0188"/>
    <w:rsid w:val="7F5B7312"/>
    <w:rsid w:val="7F6C2F0C"/>
    <w:rsid w:val="7F7700BA"/>
    <w:rsid w:val="7F7B0045"/>
    <w:rsid w:val="7F841136"/>
    <w:rsid w:val="7F864460"/>
    <w:rsid w:val="7F950788"/>
    <w:rsid w:val="7F9D3213"/>
    <w:rsid w:val="7FA559A2"/>
    <w:rsid w:val="7FA74F7E"/>
    <w:rsid w:val="7FB01510"/>
    <w:rsid w:val="7FB1091F"/>
    <w:rsid w:val="7FB3346F"/>
    <w:rsid w:val="7FB51A7A"/>
    <w:rsid w:val="7FCA19E0"/>
    <w:rsid w:val="7FD52AE6"/>
    <w:rsid w:val="7FEB189B"/>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80" w:lineRule="exact"/>
      <w:ind w:firstLine="883"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link w:val="92"/>
    <w:autoRedefine/>
    <w:qFormat/>
    <w:uiPriority w:val="0"/>
    <w:pPr>
      <w:numPr>
        <w:ilvl w:val="0"/>
        <w:numId w:val="1"/>
      </w:numPr>
      <w:tabs>
        <w:tab w:val="left" w:pos="0"/>
      </w:tabs>
      <w:spacing w:before="312" w:beforeLines="100" w:after="312" w:afterLines="100" w:line="480" w:lineRule="auto"/>
      <w:ind w:firstLine="0" w:firstLineChars="0"/>
      <w:jc w:val="center"/>
      <w:outlineLvl w:val="0"/>
    </w:pPr>
    <w:rPr>
      <w:rFonts w:eastAsia="方正小标宋简体" w:cs="Times New Roman"/>
      <w:color w:val="000000" w:themeColor="text1"/>
      <w:sz w:val="36"/>
      <w:szCs w:val="44"/>
      <w14:textFill>
        <w14:solidFill>
          <w14:schemeClr w14:val="tx1"/>
        </w14:solidFill>
      </w14:textFill>
    </w:rPr>
  </w:style>
  <w:style w:type="paragraph" w:styleId="3">
    <w:name w:val="heading 2"/>
    <w:basedOn w:val="1"/>
    <w:next w:val="1"/>
    <w:link w:val="53"/>
    <w:autoRedefine/>
    <w:unhideWhenUsed/>
    <w:qFormat/>
    <w:uiPriority w:val="0"/>
    <w:pPr>
      <w:numPr>
        <w:ilvl w:val="0"/>
        <w:numId w:val="2"/>
      </w:numPr>
      <w:tabs>
        <w:tab w:val="left" w:pos="3403"/>
      </w:tabs>
      <w:spacing w:before="200" w:after="200" w:line="596" w:lineRule="exact"/>
      <w:ind w:firstLine="0" w:firstLineChars="0"/>
      <w:jc w:val="center"/>
      <w:outlineLvl w:val="1"/>
    </w:pPr>
    <w:rPr>
      <w:rFonts w:eastAsia="黑体" w:cs="Times New Roman"/>
      <w:szCs w:val="40"/>
    </w:rPr>
  </w:style>
  <w:style w:type="paragraph" w:styleId="4">
    <w:name w:val="heading 3"/>
    <w:basedOn w:val="1"/>
    <w:next w:val="1"/>
    <w:link w:val="50"/>
    <w:autoRedefine/>
    <w:qFormat/>
    <w:uiPriority w:val="0"/>
    <w:pPr>
      <w:spacing w:line="360" w:lineRule="auto"/>
      <w:ind w:firstLine="482"/>
      <w:outlineLvl w:val="2"/>
    </w:pPr>
    <w:rPr>
      <w:b/>
      <w:bCs/>
      <w:color w:val="0000FF"/>
      <w:sz w:val="24"/>
      <w:szCs w:val="32"/>
    </w:rPr>
  </w:style>
  <w:style w:type="paragraph" w:styleId="5">
    <w:name w:val="heading 4"/>
    <w:basedOn w:val="1"/>
    <w:next w:val="1"/>
    <w:link w:val="38"/>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39"/>
    <w:pPr>
      <w:ind w:left="2520" w:leftChars="1200"/>
    </w:pPr>
  </w:style>
  <w:style w:type="paragraph" w:styleId="7">
    <w:name w:val="Body Text"/>
    <w:basedOn w:val="1"/>
    <w:next w:val="1"/>
    <w:link w:val="88"/>
    <w:autoRedefine/>
    <w:qFormat/>
    <w:uiPriority w:val="0"/>
    <w:rPr>
      <w:sz w:val="24"/>
    </w:rPr>
  </w:style>
  <w:style w:type="paragraph" w:styleId="8">
    <w:name w:val="toc 5"/>
    <w:basedOn w:val="1"/>
    <w:next w:val="1"/>
    <w:autoRedefine/>
    <w:qFormat/>
    <w:uiPriority w:val="39"/>
    <w:pPr>
      <w:ind w:left="1680" w:leftChars="800"/>
    </w:pPr>
  </w:style>
  <w:style w:type="paragraph" w:styleId="9">
    <w:name w:val="toc 3"/>
    <w:basedOn w:val="1"/>
    <w:next w:val="1"/>
    <w:autoRedefine/>
    <w:unhideWhenUsed/>
    <w:qFormat/>
    <w:uiPriority w:val="39"/>
    <w:pPr>
      <w:ind w:left="840" w:leftChars="400"/>
    </w:pPr>
  </w:style>
  <w:style w:type="paragraph" w:styleId="10">
    <w:name w:val="toc 8"/>
    <w:basedOn w:val="1"/>
    <w:next w:val="1"/>
    <w:autoRedefine/>
    <w:qFormat/>
    <w:uiPriority w:val="39"/>
    <w:pPr>
      <w:ind w:left="2940" w:leftChars="1400"/>
    </w:pPr>
  </w:style>
  <w:style w:type="paragraph" w:styleId="11">
    <w:name w:val="Body Text Indent 2"/>
    <w:basedOn w:val="1"/>
    <w:next w:val="1"/>
    <w:link w:val="35"/>
    <w:autoRedefine/>
    <w:qFormat/>
    <w:uiPriority w:val="0"/>
    <w:pPr>
      <w:spacing w:line="360" w:lineRule="auto"/>
      <w:ind w:firstLine="643"/>
    </w:pPr>
  </w:style>
  <w:style w:type="paragraph" w:styleId="12">
    <w:name w:val="footer"/>
    <w:basedOn w:val="1"/>
    <w:link w:val="39"/>
    <w:autoRedefine/>
    <w:qFormat/>
    <w:uiPriority w:val="99"/>
    <w:pPr>
      <w:tabs>
        <w:tab w:val="center" w:pos="4153"/>
        <w:tab w:val="right" w:pos="8306"/>
      </w:tabs>
      <w:snapToGrid w:val="0"/>
      <w:ind w:firstLine="360"/>
      <w:jc w:val="center"/>
    </w:pPr>
    <w:rPr>
      <w:rFonts w:cs="Times New Roman"/>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spacing w:line="600" w:lineRule="exact"/>
    </w:pPr>
    <w:rPr>
      <w:rFonts w:eastAsia="黑体"/>
    </w:rPr>
  </w:style>
  <w:style w:type="paragraph" w:styleId="15">
    <w:name w:val="toc 4"/>
    <w:basedOn w:val="1"/>
    <w:next w:val="1"/>
    <w:autoRedefine/>
    <w:qFormat/>
    <w:uiPriority w:val="39"/>
    <w:pPr>
      <w:ind w:left="1260" w:leftChars="600"/>
    </w:pPr>
  </w:style>
  <w:style w:type="paragraph" w:styleId="16">
    <w:name w:val="toc 6"/>
    <w:basedOn w:val="1"/>
    <w:next w:val="1"/>
    <w:autoRedefine/>
    <w:qFormat/>
    <w:uiPriority w:val="39"/>
    <w:pPr>
      <w:ind w:left="2100" w:leftChars="1000"/>
    </w:pPr>
  </w:style>
  <w:style w:type="paragraph" w:styleId="17">
    <w:name w:val="toc 2"/>
    <w:basedOn w:val="1"/>
    <w:next w:val="1"/>
    <w:autoRedefine/>
    <w:unhideWhenUsed/>
    <w:qFormat/>
    <w:uiPriority w:val="39"/>
    <w:pPr>
      <w:tabs>
        <w:tab w:val="right" w:leader="dot" w:pos="8302"/>
      </w:tabs>
      <w:spacing w:line="596" w:lineRule="exact"/>
      <w:ind w:left="640" w:leftChars="200" w:firstLine="0" w:firstLineChars="0"/>
    </w:pPr>
    <w:rPr>
      <w:rFonts w:eastAsia="黑体"/>
      <w:sz w:val="28"/>
    </w:rPr>
  </w:style>
  <w:style w:type="paragraph" w:styleId="18">
    <w:name w:val="toc 9"/>
    <w:basedOn w:val="1"/>
    <w:next w:val="1"/>
    <w:autoRedefine/>
    <w:qFormat/>
    <w:uiPriority w:val="39"/>
    <w:pPr>
      <w:ind w:left="3360" w:leftChars="1600"/>
    </w:pPr>
  </w:style>
  <w:style w:type="paragraph" w:styleId="19">
    <w:name w:val="Normal (Web)"/>
    <w:basedOn w:val="1"/>
    <w:autoRedefine/>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rPr>
  </w:style>
  <w:style w:type="paragraph" w:styleId="20">
    <w:name w:val="Body Text First Indent"/>
    <w:basedOn w:val="7"/>
    <w:link w:val="89"/>
    <w:autoRedefine/>
    <w:unhideWhenUsed/>
    <w:qFormat/>
    <w:uiPriority w:val="99"/>
    <w:pPr>
      <w:widowControl/>
      <w:spacing w:after="120" w:line="596" w:lineRule="exact"/>
      <w:ind w:firstLine="420" w:firstLineChars="100"/>
    </w:pPr>
    <w:rPr>
      <w:rFonts w:cs="Times New Roman"/>
      <w:kern w:val="0"/>
      <w:sz w:val="32"/>
      <w:szCs w:val="20"/>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FollowedHyperlink"/>
    <w:basedOn w:val="23"/>
    <w:autoRedefine/>
    <w:qFormat/>
    <w:uiPriority w:val="99"/>
    <w:rPr>
      <w:color w:val="333333"/>
      <w:u w:val="none"/>
    </w:rPr>
  </w:style>
  <w:style w:type="character" w:styleId="26">
    <w:name w:val="Emphasis"/>
    <w:basedOn w:val="23"/>
    <w:autoRedefine/>
    <w:qFormat/>
    <w:uiPriority w:val="0"/>
  </w:style>
  <w:style w:type="character" w:styleId="27">
    <w:name w:val="Hyperlink"/>
    <w:basedOn w:val="23"/>
    <w:autoRedefine/>
    <w:unhideWhenUsed/>
    <w:qFormat/>
    <w:uiPriority w:val="99"/>
    <w:rPr>
      <w:color w:val="0563C1" w:themeColor="hyperlink"/>
      <w:u w:val="single"/>
      <w14:textFill>
        <w14:solidFill>
          <w14:schemeClr w14:val="hlink"/>
        </w14:solidFill>
      </w14:textFill>
    </w:rPr>
  </w:style>
  <w:style w:type="paragraph" w:customStyle="1" w:styleId="28">
    <w:name w:val="正文－小四"/>
    <w:basedOn w:val="1"/>
    <w:autoRedefine/>
    <w:qFormat/>
    <w:uiPriority w:val="0"/>
    <w:pPr>
      <w:tabs>
        <w:tab w:val="left" w:pos="377"/>
      </w:tabs>
      <w:spacing w:line="240" w:lineRule="auto"/>
      <w:ind w:firstLine="0" w:firstLineChars="0"/>
      <w:jc w:val="center"/>
    </w:pPr>
    <w:rPr>
      <w:rFonts w:cs="Times New Roman"/>
      <w:sz w:val="21"/>
      <w:szCs w:val="21"/>
    </w:rPr>
  </w:style>
  <w:style w:type="paragraph" w:customStyle="1" w:styleId="29">
    <w:name w:val="正文文本 21"/>
    <w:basedOn w:val="1"/>
    <w:link w:val="56"/>
    <w:autoRedefine/>
    <w:qFormat/>
    <w:uiPriority w:val="0"/>
    <w:pPr>
      <w:spacing w:after="120" w:line="480" w:lineRule="auto"/>
    </w:pPr>
    <w:rPr>
      <w:rFonts w:ascii="Calibri" w:hAnsi="Calibri" w:cs="黑体"/>
    </w:rPr>
  </w:style>
  <w:style w:type="paragraph" w:customStyle="1" w:styleId="30">
    <w:name w:val="WPSOffice手动目录 1"/>
    <w:autoRedefine/>
    <w:qFormat/>
    <w:uiPriority w:val="0"/>
    <w:rPr>
      <w:rFonts w:ascii="Times New Roman" w:hAnsi="Times New Roman" w:eastAsia="宋体" w:cs="Times New Roman"/>
      <w:lang w:val="en-US" w:eastAsia="zh-CN" w:bidi="ar-SA"/>
    </w:rPr>
  </w:style>
  <w:style w:type="paragraph" w:customStyle="1" w:styleId="31">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2">
    <w:name w:val="列表段落1"/>
    <w:basedOn w:val="1"/>
    <w:autoRedefine/>
    <w:qFormat/>
    <w:uiPriority w:val="34"/>
    <w:pPr>
      <w:ind w:firstLine="420"/>
    </w:pPr>
  </w:style>
  <w:style w:type="character" w:customStyle="1" w:styleId="33">
    <w:name w:val="font21"/>
    <w:basedOn w:val="23"/>
    <w:autoRedefine/>
    <w:qFormat/>
    <w:uiPriority w:val="0"/>
    <w:rPr>
      <w:rFonts w:hint="eastAsia" w:ascii="宋体" w:hAnsi="宋体" w:eastAsia="宋体" w:cs="宋体"/>
      <w:color w:val="000000"/>
      <w:sz w:val="20"/>
      <w:szCs w:val="20"/>
      <w:u w:val="none"/>
    </w:rPr>
  </w:style>
  <w:style w:type="character" w:customStyle="1" w:styleId="34">
    <w:name w:val="font11"/>
    <w:basedOn w:val="23"/>
    <w:autoRedefine/>
    <w:qFormat/>
    <w:uiPriority w:val="0"/>
    <w:rPr>
      <w:rFonts w:hint="default" w:ascii="Times New Roman" w:hAnsi="Times New Roman" w:cs="Times New Roman"/>
      <w:color w:val="000000"/>
      <w:sz w:val="20"/>
      <w:szCs w:val="20"/>
      <w:u w:val="none"/>
    </w:rPr>
  </w:style>
  <w:style w:type="character" w:customStyle="1" w:styleId="35">
    <w:name w:val="正文文本缩进 2 字符"/>
    <w:basedOn w:val="23"/>
    <w:link w:val="11"/>
    <w:autoRedefine/>
    <w:qFormat/>
    <w:uiPriority w:val="0"/>
    <w:rPr>
      <w:rFonts w:asciiTheme="minorHAnsi" w:hAnsiTheme="minorHAnsi" w:eastAsiaTheme="minorEastAsia" w:cstheme="minorBidi"/>
      <w:kern w:val="2"/>
      <w:sz w:val="21"/>
      <w:szCs w:val="24"/>
    </w:rPr>
  </w:style>
  <w:style w:type="table" w:customStyle="1" w:styleId="36">
    <w:name w:val="网格型1"/>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
    <w:name w:val="0正文 滑县文本"/>
    <w:basedOn w:val="1"/>
    <w:autoRedefine/>
    <w:qFormat/>
    <w:uiPriority w:val="0"/>
    <w:pPr>
      <w:spacing w:after="93" w:afterLines="30" w:line="560" w:lineRule="exact"/>
      <w:ind w:firstLine="600"/>
    </w:pPr>
    <w:rPr>
      <w:sz w:val="30"/>
      <w:szCs w:val="30"/>
    </w:rPr>
  </w:style>
  <w:style w:type="character" w:customStyle="1" w:styleId="38">
    <w:name w:val="标题 4 字符"/>
    <w:basedOn w:val="23"/>
    <w:link w:val="5"/>
    <w:autoRedefine/>
    <w:qFormat/>
    <w:uiPriority w:val="0"/>
    <w:rPr>
      <w:rFonts w:asciiTheme="majorHAnsi" w:hAnsiTheme="majorHAnsi" w:eastAsiaTheme="majorEastAsia" w:cstheme="majorBidi"/>
      <w:b/>
      <w:bCs/>
      <w:kern w:val="2"/>
      <w:sz w:val="28"/>
      <w:szCs w:val="28"/>
    </w:rPr>
  </w:style>
  <w:style w:type="character" w:customStyle="1" w:styleId="39">
    <w:name w:val="页脚 字符"/>
    <w:basedOn w:val="23"/>
    <w:link w:val="12"/>
    <w:autoRedefine/>
    <w:qFormat/>
    <w:uiPriority w:val="99"/>
    <w:rPr>
      <w:rFonts w:eastAsia="仿宋_GB2312"/>
      <w:kern w:val="2"/>
      <w:sz w:val="18"/>
      <w:szCs w:val="24"/>
    </w:rPr>
  </w:style>
  <w:style w:type="paragraph" w:customStyle="1" w:styleId="40">
    <w:name w:val="列表段落2"/>
    <w:basedOn w:val="1"/>
    <w:autoRedefine/>
    <w:qFormat/>
    <w:uiPriority w:val="99"/>
    <w:pPr>
      <w:ind w:firstLine="420"/>
    </w:pPr>
  </w:style>
  <w:style w:type="character" w:customStyle="1" w:styleId="41">
    <w:name w:val="NormalCharacter"/>
    <w:autoRedefine/>
    <w:semiHidden/>
    <w:qFormat/>
    <w:uiPriority w:val="99"/>
    <w:rPr>
      <w:kern w:val="2"/>
      <w:sz w:val="24"/>
      <w:lang w:val="en-US" w:eastAsia="zh-CN"/>
    </w:rPr>
  </w:style>
  <w:style w:type="paragraph" w:customStyle="1" w:styleId="42">
    <w:name w:val="列表段落3"/>
    <w:basedOn w:val="1"/>
    <w:autoRedefine/>
    <w:qFormat/>
    <w:uiPriority w:val="99"/>
    <w:pPr>
      <w:spacing w:line="240" w:lineRule="auto"/>
      <w:ind w:firstLine="420"/>
    </w:pPr>
    <w:rPr>
      <w:rFonts w:asciiTheme="minorHAnsi" w:hAnsiTheme="minorHAnsi" w:eastAsiaTheme="minorEastAsia"/>
      <w:sz w:val="21"/>
    </w:rPr>
  </w:style>
  <w:style w:type="paragraph" w:customStyle="1" w:styleId="43">
    <w:name w:val="表格字"/>
    <w:basedOn w:val="1"/>
    <w:autoRedefine/>
    <w:qFormat/>
    <w:uiPriority w:val="0"/>
    <w:pPr>
      <w:jc w:val="center"/>
    </w:pPr>
  </w:style>
  <w:style w:type="paragraph" w:customStyle="1" w:styleId="44">
    <w:name w:val="列表段落4"/>
    <w:basedOn w:val="1"/>
    <w:autoRedefine/>
    <w:qFormat/>
    <w:uiPriority w:val="99"/>
    <w:pPr>
      <w:ind w:firstLine="420"/>
    </w:pPr>
  </w:style>
  <w:style w:type="character" w:customStyle="1" w:styleId="45">
    <w:name w:val="fontstyle21"/>
    <w:basedOn w:val="23"/>
    <w:autoRedefine/>
    <w:qFormat/>
    <w:uiPriority w:val="0"/>
    <w:rPr>
      <w:rFonts w:ascii="TimesNewRomanPSMT" w:hAnsi="TimesNewRomanPSMT" w:eastAsia="TimesNewRomanPSMT" w:cs="TimesNewRomanPSMT"/>
      <w:color w:val="000000"/>
      <w:sz w:val="30"/>
      <w:szCs w:val="30"/>
    </w:rPr>
  </w:style>
  <w:style w:type="paragraph" w:customStyle="1" w:styleId="46">
    <w:name w:val="标题1"/>
    <w:basedOn w:val="2"/>
    <w:link w:val="48"/>
    <w:autoRedefine/>
    <w:qFormat/>
    <w:uiPriority w:val="0"/>
  </w:style>
  <w:style w:type="paragraph" w:customStyle="1" w:styleId="47">
    <w:name w:val="样式2"/>
    <w:basedOn w:val="4"/>
    <w:link w:val="51"/>
    <w:autoRedefine/>
    <w:qFormat/>
    <w:uiPriority w:val="0"/>
    <w:pPr>
      <w:numPr>
        <w:ilvl w:val="0"/>
        <w:numId w:val="3"/>
      </w:numPr>
      <w:spacing w:before="100" w:beforeLines="100" w:line="600" w:lineRule="exact"/>
      <w:ind w:firstLineChars="0"/>
    </w:pPr>
    <w:rPr>
      <w:rFonts w:eastAsia="楷体" w:cs="Times New Roman"/>
      <w:color w:val="auto"/>
      <w:sz w:val="32"/>
    </w:rPr>
  </w:style>
  <w:style w:type="character" w:customStyle="1" w:styleId="48">
    <w:name w:val="标题1 字符"/>
    <w:basedOn w:val="23"/>
    <w:link w:val="46"/>
    <w:autoRedefine/>
    <w:qFormat/>
    <w:uiPriority w:val="0"/>
    <w:rPr>
      <w:rFonts w:eastAsia="黑体"/>
      <w:color w:val="000000" w:themeColor="text1"/>
      <w:kern w:val="2"/>
      <w:sz w:val="36"/>
      <w:szCs w:val="44"/>
      <w14:textFill>
        <w14:solidFill>
          <w14:schemeClr w14:val="tx1"/>
        </w14:solidFill>
      </w14:textFill>
    </w:rPr>
  </w:style>
  <w:style w:type="paragraph" w:customStyle="1" w:styleId="49">
    <w:name w:val="样式1"/>
    <w:basedOn w:val="3"/>
    <w:link w:val="54"/>
    <w:autoRedefine/>
    <w:qFormat/>
    <w:uiPriority w:val="0"/>
    <w:pPr>
      <w:spacing w:before="312" w:beforeLines="100"/>
    </w:pPr>
  </w:style>
  <w:style w:type="character" w:customStyle="1" w:styleId="50">
    <w:name w:val="标题 3 字符"/>
    <w:basedOn w:val="23"/>
    <w:link w:val="4"/>
    <w:autoRedefine/>
    <w:qFormat/>
    <w:uiPriority w:val="0"/>
    <w:rPr>
      <w:rFonts w:eastAsia="仿宋_GB2312" w:cstheme="minorBidi"/>
      <w:b/>
      <w:bCs/>
      <w:color w:val="0000FF"/>
      <w:kern w:val="2"/>
      <w:sz w:val="24"/>
      <w:szCs w:val="32"/>
    </w:rPr>
  </w:style>
  <w:style w:type="character" w:customStyle="1" w:styleId="51">
    <w:name w:val="样式2 字符"/>
    <w:basedOn w:val="50"/>
    <w:link w:val="47"/>
    <w:autoRedefine/>
    <w:qFormat/>
    <w:uiPriority w:val="0"/>
    <w:rPr>
      <w:rFonts w:eastAsia="楷体" w:cstheme="minorBidi"/>
      <w:color w:val="0000FF"/>
      <w:kern w:val="2"/>
      <w:sz w:val="32"/>
      <w:szCs w:val="32"/>
    </w:rPr>
  </w:style>
  <w:style w:type="paragraph" w:customStyle="1" w:styleId="52">
    <w:name w:val="表名"/>
    <w:basedOn w:val="29"/>
    <w:link w:val="57"/>
    <w:autoRedefine/>
    <w:qFormat/>
    <w:uiPriority w:val="0"/>
    <w:pPr>
      <w:spacing w:after="0" w:line="340" w:lineRule="exact"/>
      <w:ind w:firstLine="0" w:firstLineChars="0"/>
      <w:jc w:val="center"/>
    </w:pPr>
    <w:rPr>
      <w:rFonts w:ascii="Times New Roman" w:hAnsi="Times New Roman" w:cs="Times New Roman"/>
      <w:color w:val="000000" w:themeColor="text1"/>
      <w:sz w:val="28"/>
      <w:szCs w:val="22"/>
      <w14:textFill>
        <w14:solidFill>
          <w14:schemeClr w14:val="tx1"/>
        </w14:solidFill>
      </w14:textFill>
    </w:rPr>
  </w:style>
  <w:style w:type="character" w:customStyle="1" w:styleId="53">
    <w:name w:val="标题 2 字符"/>
    <w:basedOn w:val="23"/>
    <w:link w:val="3"/>
    <w:autoRedefine/>
    <w:qFormat/>
    <w:uiPriority w:val="0"/>
    <w:rPr>
      <w:rFonts w:eastAsia="黑体"/>
      <w:kern w:val="2"/>
      <w:sz w:val="32"/>
      <w:szCs w:val="40"/>
    </w:rPr>
  </w:style>
  <w:style w:type="character" w:customStyle="1" w:styleId="54">
    <w:name w:val="样式1 字符"/>
    <w:basedOn w:val="53"/>
    <w:link w:val="49"/>
    <w:autoRedefine/>
    <w:qFormat/>
    <w:uiPriority w:val="0"/>
    <w:rPr>
      <w:rFonts w:ascii="黑体" w:hAnsi="黑体" w:eastAsia="黑体" w:cs="黑体"/>
      <w:color w:val="000000" w:themeColor="text1"/>
      <w:kern w:val="2"/>
      <w:sz w:val="32"/>
      <w:szCs w:val="40"/>
      <w14:textFill>
        <w14:solidFill>
          <w14:schemeClr w14:val="tx1"/>
        </w14:solidFill>
      </w14:textFill>
    </w:rPr>
  </w:style>
  <w:style w:type="paragraph" w:customStyle="1" w:styleId="55">
    <w:name w:val="表格式"/>
    <w:basedOn w:val="1"/>
    <w:link w:val="58"/>
    <w:autoRedefine/>
    <w:qFormat/>
    <w:uiPriority w:val="0"/>
    <w:pPr>
      <w:widowControl/>
      <w:spacing w:line="240" w:lineRule="auto"/>
      <w:ind w:firstLine="0" w:firstLineChars="0"/>
      <w:jc w:val="center"/>
      <w:textAlignment w:val="center"/>
    </w:pPr>
    <w:rPr>
      <w:rFonts w:ascii="等线" w:hAnsi="等线" w:cs="Times New Roman"/>
      <w:kern w:val="24"/>
      <w:sz w:val="21"/>
      <w:szCs w:val="21"/>
    </w:rPr>
  </w:style>
  <w:style w:type="character" w:customStyle="1" w:styleId="56">
    <w:name w:val="正文文本 21 字符"/>
    <w:basedOn w:val="23"/>
    <w:link w:val="29"/>
    <w:autoRedefine/>
    <w:qFormat/>
    <w:uiPriority w:val="0"/>
    <w:rPr>
      <w:rFonts w:ascii="Calibri" w:hAnsi="Calibri" w:eastAsia="仿宋_GB2312" w:cs="黑体"/>
      <w:kern w:val="2"/>
      <w:sz w:val="32"/>
      <w:szCs w:val="24"/>
    </w:rPr>
  </w:style>
  <w:style w:type="character" w:customStyle="1" w:styleId="57">
    <w:name w:val="表名 字符"/>
    <w:basedOn w:val="56"/>
    <w:link w:val="52"/>
    <w:autoRedefine/>
    <w:qFormat/>
    <w:uiPriority w:val="0"/>
    <w:rPr>
      <w:rFonts w:ascii="Calibri" w:hAnsi="Calibri" w:eastAsia="仿宋_GB2312" w:cs="黑体"/>
      <w:color w:val="000000" w:themeColor="text1"/>
      <w:kern w:val="2"/>
      <w:sz w:val="28"/>
      <w:szCs w:val="22"/>
      <w14:textFill>
        <w14:solidFill>
          <w14:schemeClr w14:val="tx1"/>
        </w14:solidFill>
      </w14:textFill>
    </w:rPr>
  </w:style>
  <w:style w:type="character" w:customStyle="1" w:styleId="58">
    <w:name w:val="表格式 字符"/>
    <w:basedOn w:val="23"/>
    <w:link w:val="55"/>
    <w:autoRedefine/>
    <w:qFormat/>
    <w:uiPriority w:val="0"/>
    <w:rPr>
      <w:rFonts w:ascii="等线" w:hAnsi="等线" w:eastAsia="仿宋_GB2312"/>
      <w:kern w:val="24"/>
      <w:sz w:val="21"/>
      <w:szCs w:val="21"/>
    </w:rPr>
  </w:style>
  <w:style w:type="table" w:customStyle="1" w:styleId="59">
    <w:name w:val="网格型7"/>
    <w:basedOn w:val="21"/>
    <w:autoRedefine/>
    <w:qFormat/>
    <w:uiPriority w:val="0"/>
    <w:rPr>
      <w:rFonts w:ascii="等线" w:hAnsi="等线" w:eastAsia="等线"/>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6"/>
    <w:basedOn w:val="21"/>
    <w:autoRedefine/>
    <w:qFormat/>
    <w:uiPriority w:val="0"/>
    <w:rPr>
      <w:rFonts w:ascii="等线" w:hAnsi="等线" w:eastAsia="等线"/>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5"/>
    <w:basedOn w:val="21"/>
    <w:autoRedefine/>
    <w:qFormat/>
    <w:uiPriority w:val="0"/>
    <w:rPr>
      <w:rFonts w:ascii="等线" w:hAnsi="等线" w:eastAsia="等线"/>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4"/>
    <w:basedOn w:val="21"/>
    <w:autoRedefine/>
    <w:qFormat/>
    <w:uiPriority w:val="0"/>
    <w:rPr>
      <w:rFonts w:ascii="等线" w:hAnsi="等线" w:eastAsia="等线"/>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网格型2"/>
    <w:basedOn w:val="21"/>
    <w:autoRedefine/>
    <w:qFormat/>
    <w:uiPriority w:val="0"/>
    <w:rPr>
      <w:rFonts w:ascii="等线" w:hAnsi="等线" w:eastAsia="等线"/>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3"/>
    <w:basedOn w:val="21"/>
    <w:autoRedefine/>
    <w:qFormat/>
    <w:uiPriority w:val="0"/>
    <w:rPr>
      <w:rFonts w:ascii="等线" w:hAnsi="等线" w:eastAsia="等线"/>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5">
    <w:name w:val="未处理的提及1"/>
    <w:basedOn w:val="23"/>
    <w:autoRedefine/>
    <w:unhideWhenUsed/>
    <w:qFormat/>
    <w:uiPriority w:val="99"/>
    <w:rPr>
      <w:color w:val="605E5C"/>
      <w:shd w:val="clear" w:color="auto" w:fill="E1DFDD"/>
    </w:rPr>
  </w:style>
  <w:style w:type="paragraph" w:customStyle="1" w:styleId="66">
    <w:name w:val="正文！！！"/>
    <w:basedOn w:val="1"/>
    <w:autoRedefine/>
    <w:qFormat/>
    <w:uiPriority w:val="0"/>
    <w:pPr>
      <w:spacing w:line="596" w:lineRule="exact"/>
      <w:ind w:firstLine="640"/>
    </w:pPr>
    <w:rPr>
      <w:rFonts w:cs="Times New Roman"/>
      <w:szCs w:val="40"/>
    </w:rPr>
  </w:style>
  <w:style w:type="table" w:customStyle="1" w:styleId="67">
    <w:name w:val="网格型8"/>
    <w:basedOn w:val="21"/>
    <w:autoRedefine/>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8">
    <w:name w:val="专栏-正文"/>
    <w:basedOn w:val="1"/>
    <w:autoRedefine/>
    <w:qFormat/>
    <w:uiPriority w:val="0"/>
    <w:pPr>
      <w:spacing w:line="400" w:lineRule="exact"/>
    </w:pPr>
    <w:rPr>
      <w:rFonts w:ascii="楷体_GB2312" w:hAnsi="宋体" w:cs="Arial"/>
      <w:sz w:val="24"/>
    </w:rPr>
  </w:style>
  <w:style w:type="character" w:customStyle="1" w:styleId="69">
    <w:name w:val="a_p_2"/>
    <w:basedOn w:val="23"/>
    <w:autoRedefine/>
    <w:qFormat/>
    <w:uiPriority w:val="0"/>
    <w:rPr>
      <w:sz w:val="27"/>
      <w:szCs w:val="27"/>
    </w:rPr>
  </w:style>
  <w:style w:type="character" w:customStyle="1" w:styleId="70">
    <w:name w:val="a_p_21"/>
    <w:basedOn w:val="23"/>
    <w:autoRedefine/>
    <w:qFormat/>
    <w:uiPriority w:val="0"/>
  </w:style>
  <w:style w:type="character" w:customStyle="1" w:styleId="71">
    <w:name w:val="ul_li_a_1"/>
    <w:basedOn w:val="23"/>
    <w:autoRedefine/>
    <w:qFormat/>
    <w:uiPriority w:val="0"/>
    <w:rPr>
      <w:b/>
      <w:bCs/>
      <w:color w:val="FFFFFF"/>
    </w:rPr>
  </w:style>
  <w:style w:type="character" w:customStyle="1" w:styleId="72">
    <w:name w:val="a_p_1"/>
    <w:basedOn w:val="23"/>
    <w:autoRedefine/>
    <w:qFormat/>
    <w:uiPriority w:val="0"/>
    <w:rPr>
      <w:sz w:val="27"/>
      <w:szCs w:val="27"/>
    </w:rPr>
  </w:style>
  <w:style w:type="character" w:customStyle="1" w:styleId="73">
    <w:name w:val="a_p_3"/>
    <w:basedOn w:val="23"/>
    <w:autoRedefine/>
    <w:qFormat/>
    <w:uiPriority w:val="0"/>
    <w:rPr>
      <w:sz w:val="27"/>
      <w:szCs w:val="27"/>
    </w:rPr>
  </w:style>
  <w:style w:type="character" w:customStyle="1" w:styleId="74">
    <w:name w:val="exap"/>
    <w:basedOn w:val="23"/>
    <w:autoRedefine/>
    <w:qFormat/>
    <w:uiPriority w:val="0"/>
    <w:rPr>
      <w:sz w:val="27"/>
      <w:szCs w:val="27"/>
    </w:rPr>
  </w:style>
  <w:style w:type="character" w:customStyle="1" w:styleId="75">
    <w:name w:val="first-child1"/>
    <w:basedOn w:val="23"/>
    <w:autoRedefine/>
    <w:qFormat/>
    <w:uiPriority w:val="0"/>
  </w:style>
  <w:style w:type="character" w:customStyle="1" w:styleId="76">
    <w:name w:val="list-top-zc"/>
    <w:basedOn w:val="23"/>
    <w:autoRedefine/>
    <w:qFormat/>
    <w:uiPriority w:val="0"/>
    <w:rPr>
      <w:sz w:val="24"/>
      <w:szCs w:val="24"/>
    </w:rPr>
  </w:style>
  <w:style w:type="character" w:customStyle="1" w:styleId="77">
    <w:name w:val="list-top-title"/>
    <w:basedOn w:val="23"/>
    <w:autoRedefine/>
    <w:qFormat/>
    <w:uiPriority w:val="0"/>
    <w:rPr>
      <w:sz w:val="24"/>
      <w:szCs w:val="24"/>
    </w:rPr>
  </w:style>
  <w:style w:type="paragraph" w:customStyle="1" w:styleId="78">
    <w:name w:val="_Style 76"/>
    <w:basedOn w:val="1"/>
    <w:next w:val="1"/>
    <w:autoRedefine/>
    <w:qFormat/>
    <w:uiPriority w:val="0"/>
    <w:pPr>
      <w:pBdr>
        <w:bottom w:val="single" w:color="auto" w:sz="6" w:space="1"/>
      </w:pBdr>
      <w:jc w:val="center"/>
    </w:pPr>
    <w:rPr>
      <w:rFonts w:ascii="Arial" w:eastAsia="宋体"/>
      <w:vanish/>
      <w:sz w:val="16"/>
    </w:rPr>
  </w:style>
  <w:style w:type="paragraph" w:customStyle="1" w:styleId="79">
    <w:name w:val="_Style 77"/>
    <w:basedOn w:val="1"/>
    <w:next w:val="1"/>
    <w:autoRedefine/>
    <w:qFormat/>
    <w:uiPriority w:val="0"/>
    <w:pPr>
      <w:pBdr>
        <w:top w:val="single" w:color="auto" w:sz="6" w:space="1"/>
      </w:pBdr>
      <w:jc w:val="center"/>
    </w:pPr>
    <w:rPr>
      <w:rFonts w:ascii="Arial" w:eastAsia="宋体"/>
      <w:vanish/>
      <w:sz w:val="16"/>
    </w:rPr>
  </w:style>
  <w:style w:type="character" w:customStyle="1" w:styleId="80">
    <w:name w:val="first-child"/>
    <w:basedOn w:val="23"/>
    <w:autoRedefine/>
    <w:qFormat/>
    <w:uiPriority w:val="0"/>
  </w:style>
  <w:style w:type="character" w:customStyle="1" w:styleId="81">
    <w:name w:val="gnjw42jj1"/>
    <w:basedOn w:val="23"/>
    <w:autoRedefine/>
    <w:qFormat/>
    <w:uiPriority w:val="0"/>
  </w:style>
  <w:style w:type="character" w:customStyle="1" w:styleId="82">
    <w:name w:val="font01"/>
    <w:basedOn w:val="23"/>
    <w:autoRedefine/>
    <w:qFormat/>
    <w:uiPriority w:val="0"/>
    <w:rPr>
      <w:rFonts w:hint="eastAsia" w:ascii="仿宋_GB2312" w:eastAsia="仿宋_GB2312" w:cs="仿宋_GB2312"/>
      <w:b/>
      <w:bCs/>
      <w:color w:val="000000"/>
      <w:sz w:val="21"/>
      <w:szCs w:val="21"/>
      <w:u w:val="none"/>
    </w:rPr>
  </w:style>
  <w:style w:type="character" w:customStyle="1" w:styleId="83">
    <w:name w:val="font31"/>
    <w:basedOn w:val="23"/>
    <w:autoRedefine/>
    <w:qFormat/>
    <w:uiPriority w:val="0"/>
    <w:rPr>
      <w:rFonts w:hint="eastAsia" w:ascii="仿宋_GB2312" w:eastAsia="仿宋_GB2312" w:cs="仿宋_GB2312"/>
      <w:color w:val="000000"/>
      <w:sz w:val="21"/>
      <w:szCs w:val="21"/>
      <w:u w:val="none"/>
    </w:rPr>
  </w:style>
  <w:style w:type="character" w:customStyle="1" w:styleId="84">
    <w:name w:val="font41"/>
    <w:basedOn w:val="23"/>
    <w:autoRedefine/>
    <w:qFormat/>
    <w:uiPriority w:val="0"/>
    <w:rPr>
      <w:rFonts w:hint="eastAsia" w:ascii="仿宋_GB2312" w:eastAsia="仿宋_GB2312" w:cs="仿宋_GB2312"/>
      <w:color w:val="000000"/>
      <w:sz w:val="32"/>
      <w:szCs w:val="32"/>
      <w:u w:val="none"/>
    </w:rPr>
  </w:style>
  <w:style w:type="character" w:customStyle="1" w:styleId="85">
    <w:name w:val="fontstyle01"/>
    <w:basedOn w:val="23"/>
    <w:autoRedefine/>
    <w:qFormat/>
    <w:uiPriority w:val="0"/>
    <w:rPr>
      <w:rFonts w:ascii="仿宋" w:hAnsi="仿宋" w:eastAsia="仿宋" w:cs="仿宋"/>
      <w:color w:val="000000"/>
      <w:sz w:val="32"/>
      <w:szCs w:val="32"/>
    </w:rPr>
  </w:style>
  <w:style w:type="paragraph" w:customStyle="1" w:styleId="86">
    <w:name w:val="msonormal"/>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87">
    <w:name w:val="font5"/>
    <w:basedOn w:val="1"/>
    <w:autoRedefine/>
    <w:qFormat/>
    <w:uiPriority w:val="0"/>
    <w:pPr>
      <w:widowControl/>
      <w:spacing w:before="100" w:beforeAutospacing="1" w:after="100" w:afterAutospacing="1" w:line="240" w:lineRule="auto"/>
      <w:ind w:firstLine="0" w:firstLineChars="0"/>
      <w:jc w:val="left"/>
    </w:pPr>
    <w:rPr>
      <w:rFonts w:ascii="等线" w:hAnsi="等线" w:eastAsia="等线" w:cs="宋体"/>
      <w:kern w:val="0"/>
      <w:sz w:val="18"/>
      <w:szCs w:val="18"/>
    </w:rPr>
  </w:style>
  <w:style w:type="character" w:customStyle="1" w:styleId="88">
    <w:name w:val="正文文本 字符"/>
    <w:basedOn w:val="23"/>
    <w:link w:val="7"/>
    <w:autoRedefine/>
    <w:qFormat/>
    <w:uiPriority w:val="0"/>
    <w:rPr>
      <w:rFonts w:eastAsia="仿宋_GB2312" w:cstheme="minorBidi"/>
      <w:kern w:val="2"/>
      <w:sz w:val="24"/>
      <w:szCs w:val="24"/>
    </w:rPr>
  </w:style>
  <w:style w:type="character" w:customStyle="1" w:styleId="89">
    <w:name w:val="正文首行缩进 字符"/>
    <w:basedOn w:val="88"/>
    <w:link w:val="20"/>
    <w:autoRedefine/>
    <w:qFormat/>
    <w:uiPriority w:val="99"/>
    <w:rPr>
      <w:rFonts w:eastAsia="仿宋_GB2312" w:cstheme="minorBidi"/>
      <w:kern w:val="2"/>
      <w:sz w:val="32"/>
      <w:szCs w:val="24"/>
    </w:rPr>
  </w:style>
  <w:style w:type="paragraph" w:customStyle="1" w:styleId="90">
    <w:name w:val="正文－三号"/>
    <w:basedOn w:val="1"/>
    <w:autoRedefine/>
    <w:qFormat/>
    <w:uiPriority w:val="0"/>
    <w:pPr>
      <w:tabs>
        <w:tab w:val="left" w:pos="377"/>
      </w:tabs>
      <w:spacing w:line="596" w:lineRule="exact"/>
      <w:ind w:firstLine="640"/>
    </w:pPr>
    <w:rPr>
      <w:rFonts w:cs="Times New Roman"/>
      <w:bCs/>
      <w:szCs w:val="32"/>
    </w:rPr>
  </w:style>
  <w:style w:type="character" w:customStyle="1" w:styleId="91">
    <w:name w:val="fontstyle11"/>
    <w:basedOn w:val="23"/>
    <w:autoRedefine/>
    <w:qFormat/>
    <w:uiPriority w:val="0"/>
    <w:rPr>
      <w:rFonts w:ascii="仿宋_GB2312" w:hAnsi="仿宋_GB2312" w:eastAsia="仿宋_GB2312" w:cs="仿宋_GB2312"/>
      <w:color w:val="0000FF"/>
      <w:sz w:val="32"/>
      <w:szCs w:val="32"/>
    </w:rPr>
  </w:style>
  <w:style w:type="character" w:customStyle="1" w:styleId="92">
    <w:name w:val="标题 1 字符"/>
    <w:basedOn w:val="23"/>
    <w:link w:val="2"/>
    <w:qFormat/>
    <w:uiPriority w:val="0"/>
    <w:rPr>
      <w:rFonts w:eastAsia="方正小标宋简体"/>
      <w:color w:val="000000" w:themeColor="text1"/>
      <w:kern w:val="2"/>
      <w:sz w:val="36"/>
      <w:szCs w:val="44"/>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EA556-02F5-4126-B0ED-5A3E9C4CFB47}">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79</Pages>
  <Words>12258</Words>
  <Characters>12400</Characters>
  <Lines>760</Lines>
  <Paragraphs>214</Paragraphs>
  <TotalTime>198</TotalTime>
  <ScaleCrop>false</ScaleCrop>
  <LinksUpToDate>false</LinksUpToDate>
  <CharactersWithSpaces>12493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2023-05-29T01:58:00Z</dcterms:created>
  <dc:creator>小白</dc:creator>
  <cp:lastModifiedBy>微信用户</cp:lastModifiedBy>
  <cp:lastPrinted>2025-08-25T04:06:24Z</cp:lastPrinted>
  <dcterms:modified xsi:type="dcterms:W3CDTF">2025-08-25T07:04:55Z</dcterms:modified>
  <cp:revision>1185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CAC84045F9074C1184FE9F172183C83C_13</vt:lpwstr>
  </property>
  <property fmtid="{D5CDD505-2E9C-101B-9397-08002B2CF9AE}" pid="4" name="KSOTemplateDocerSaveRecord">
    <vt:lpwstr>eyJoZGlkIjoiZGMxZTVlYmY3Y2JjNGU1M2I0YjNiODZhYWJlMWU1NTciLCJ1c2VySWQiOiIxMjM0NDk0MDU4In0=</vt:lpwstr>
  </property>
</Properties>
</file>